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方正小标宋简体" w:cs="Times New Roman"/>
          <w:sz w:val="72"/>
          <w:szCs w:val="72"/>
        </w:rPr>
      </w:pPr>
      <w:bookmarkStart w:id="0" w:name="_Toc15306267"/>
    </w:p>
    <w:p>
      <w:pPr>
        <w:adjustRightInd w:val="0"/>
        <w:snapToGrid w:val="0"/>
        <w:spacing w:line="360" w:lineRule="auto"/>
        <w:jc w:val="center"/>
        <w:outlineLvl w:val="0"/>
        <w:rPr>
          <w:rFonts w:hint="default" w:ascii="Times New Roman" w:hAnsi="Times New Roman" w:eastAsia="方正小标宋简体" w:cs="Times New Roman"/>
          <w:sz w:val="84"/>
          <w:szCs w:val="84"/>
        </w:rPr>
      </w:pPr>
      <w:bookmarkStart w:id="1" w:name="_Toc15377193"/>
      <w:bookmarkStart w:id="2" w:name="_Toc15377425"/>
      <w:bookmarkStart w:id="3" w:name="_Toc15378441"/>
      <w:bookmarkStart w:id="4" w:name="_Toc15396597"/>
      <w:bookmarkStart w:id="5" w:name="_Toc15396475"/>
    </w:p>
    <w:p>
      <w:pPr>
        <w:adjustRightInd w:val="0"/>
        <w:snapToGrid w:val="0"/>
        <w:spacing w:line="360" w:lineRule="auto"/>
        <w:jc w:val="both"/>
        <w:outlineLvl w:val="0"/>
        <w:rPr>
          <w:rFonts w:hint="default" w:ascii="Times New Roman" w:hAnsi="Times New Roman" w:eastAsia="方正小标宋简体" w:cs="Times New Roman"/>
          <w:sz w:val="72"/>
          <w:szCs w:val="72"/>
        </w:rPr>
      </w:pPr>
      <w:bookmarkStart w:id="6" w:name="_Toc25695"/>
    </w:p>
    <w:p>
      <w:pPr>
        <w:keepNext w:val="0"/>
        <w:keepLines w:val="0"/>
        <w:pageBreakBefore w:val="0"/>
        <w:widowControl w:val="0"/>
        <w:kinsoku/>
        <w:wordWrap/>
        <w:overflowPunct/>
        <w:topLinePunct w:val="0"/>
        <w:autoSpaceDE/>
        <w:autoSpaceDN/>
        <w:bidi w:val="0"/>
        <w:adjustRightInd w:val="0"/>
        <w:snapToGrid w:val="0"/>
        <w:spacing w:line="2000" w:lineRule="exact"/>
        <w:jc w:val="center"/>
        <w:textAlignment w:val="auto"/>
        <w:outlineLvl w:val="0"/>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2022年度</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2000" w:lineRule="exact"/>
        <w:jc w:val="center"/>
        <w:textAlignment w:val="auto"/>
        <w:outlineLvl w:val="0"/>
        <w:rPr>
          <w:rFonts w:hint="default" w:ascii="Times New Roman" w:hAnsi="Times New Roman" w:eastAsia="方正小标宋简体" w:cs="Times New Roman"/>
          <w:sz w:val="84"/>
          <w:szCs w:val="84"/>
        </w:rPr>
      </w:pPr>
      <w:bookmarkStart w:id="7" w:name="_Toc21232"/>
      <w:bookmarkStart w:id="8" w:name="_Toc15396598"/>
      <w:bookmarkStart w:id="9" w:name="_Toc15396476"/>
      <w:bookmarkStart w:id="10" w:name="_Toc15377194"/>
      <w:bookmarkStart w:id="11" w:name="_Toc15377426"/>
      <w:bookmarkStart w:id="12" w:name="_Toc15378442"/>
      <w:r>
        <w:rPr>
          <w:rFonts w:hint="default" w:ascii="Times New Roman" w:hAnsi="Times New Roman" w:eastAsia="方正小标宋简体" w:cs="Times New Roman"/>
          <w:sz w:val="84"/>
          <w:szCs w:val="84"/>
        </w:rPr>
        <w:t>攀枝花市</w:t>
      </w:r>
      <w:bookmarkEnd w:id="0"/>
      <w:bookmarkStart w:id="13" w:name="_Toc15306268"/>
      <w:r>
        <w:rPr>
          <w:rFonts w:hint="default" w:ascii="Times New Roman" w:hAnsi="Times New Roman" w:eastAsia="方正小标宋简体" w:cs="Times New Roman"/>
          <w:sz w:val="84"/>
          <w:szCs w:val="84"/>
        </w:rPr>
        <w:t>第二人民</w:t>
      </w:r>
      <w:bookmarkEnd w:id="7"/>
    </w:p>
    <w:p>
      <w:pPr>
        <w:keepNext w:val="0"/>
        <w:keepLines w:val="0"/>
        <w:pageBreakBefore w:val="0"/>
        <w:widowControl w:val="0"/>
        <w:kinsoku/>
        <w:wordWrap/>
        <w:overflowPunct/>
        <w:topLinePunct w:val="0"/>
        <w:autoSpaceDE/>
        <w:autoSpaceDN/>
        <w:bidi w:val="0"/>
        <w:adjustRightInd w:val="0"/>
        <w:snapToGrid w:val="0"/>
        <w:spacing w:line="2000" w:lineRule="exact"/>
        <w:jc w:val="center"/>
        <w:textAlignment w:val="auto"/>
        <w:outlineLvl w:val="0"/>
        <w:rPr>
          <w:rFonts w:hint="default" w:ascii="Times New Roman" w:hAnsi="Times New Roman" w:eastAsia="方正小标宋简体" w:cs="Times New Roman"/>
          <w:sz w:val="84"/>
          <w:szCs w:val="84"/>
        </w:rPr>
      </w:pPr>
      <w:bookmarkStart w:id="14" w:name="_Toc22651"/>
      <w:r>
        <w:rPr>
          <w:rFonts w:hint="default" w:ascii="Times New Roman" w:hAnsi="Times New Roman" w:eastAsia="方正小标宋简体" w:cs="Times New Roman"/>
          <w:sz w:val="84"/>
          <w:szCs w:val="84"/>
        </w:rPr>
        <w:t>医院单位决算</w:t>
      </w:r>
      <w:bookmarkEnd w:id="8"/>
      <w:bookmarkEnd w:id="9"/>
      <w:bookmarkEnd w:id="10"/>
      <w:bookmarkEnd w:id="11"/>
      <w:bookmarkEnd w:id="12"/>
      <w:bookmarkEnd w:id="13"/>
      <w:bookmarkEnd w:id="14"/>
    </w:p>
    <w:p>
      <w:pPr>
        <w:widowControl/>
        <w:jc w:val="center"/>
        <w:rPr>
          <w:rFonts w:hint="default" w:ascii="Times New Roman" w:hAnsi="Times New Roman" w:eastAsia="黑体" w:cs="Times New Roman"/>
          <w:sz w:val="28"/>
          <w:szCs w:val="28"/>
        </w:rPr>
      </w:pPr>
      <w:r>
        <w:rPr>
          <w:rFonts w:hint="default" w:ascii="Times New Roman" w:hAnsi="Times New Roman" w:eastAsia="方正小标宋简体" w:cs="Times New Roman"/>
          <w:sz w:val="36"/>
          <w:szCs w:val="36"/>
        </w:rPr>
        <w:br w:type="page"/>
      </w:r>
      <w:r>
        <w:rPr>
          <w:rFonts w:hint="default" w:ascii="Times New Roman" w:hAnsi="Times New Roman" w:eastAsia="方正黑体_GBK" w:cs="Times New Roman"/>
          <w:sz w:val="48"/>
          <w:szCs w:val="48"/>
        </w:rPr>
        <w:t>目录</w:t>
      </w:r>
    </w:p>
    <w:p>
      <w:pPr>
        <w:pStyle w:val="8"/>
        <w:rPr>
          <w:rFonts w:hint="default" w:ascii="Times New Roman" w:hAnsi="Times New Roman" w:eastAsia="方正楷体_GBK" w:cs="Times New Roman"/>
        </w:rPr>
      </w:pPr>
      <w:r>
        <w:rPr>
          <w:rFonts w:hint="default" w:ascii="Times New Roman" w:hAnsi="Times New Roman" w:eastAsia="方正楷体_GBK" w:cs="Times New Roman"/>
        </w:rPr>
        <w:t>公开时间：</w:t>
      </w:r>
      <w:r>
        <w:rPr>
          <w:rFonts w:hint="default" w:ascii="Times New Roman" w:hAnsi="Times New Roman" w:eastAsia="方正楷体_GBK" w:cs="Times New Roman"/>
          <w:lang w:val="en-US" w:eastAsia="zh-CN"/>
        </w:rPr>
        <w:t>2023</w:t>
      </w:r>
      <w:r>
        <w:rPr>
          <w:rFonts w:hint="default" w:ascii="Times New Roman" w:hAnsi="Times New Roman" w:eastAsia="方正楷体_GBK" w:cs="Times New Roman"/>
        </w:rPr>
        <w:t>年</w:t>
      </w:r>
      <w:r>
        <w:rPr>
          <w:rFonts w:hint="default" w:ascii="Times New Roman" w:hAnsi="Times New Roman" w:eastAsia="方正楷体_GBK" w:cs="Times New Roman"/>
          <w:lang w:val="en-US" w:eastAsia="zh-CN"/>
        </w:rPr>
        <w:t>9</w:t>
      </w:r>
      <w:r>
        <w:rPr>
          <w:rFonts w:hint="default" w:ascii="Times New Roman" w:hAnsi="Times New Roman" w:eastAsia="方正楷体_GBK" w:cs="Times New Roman"/>
        </w:rPr>
        <w:t>月</w:t>
      </w:r>
      <w:r>
        <w:rPr>
          <w:rFonts w:hint="default" w:ascii="Times New Roman" w:hAnsi="Times New Roman" w:eastAsia="方正楷体_GBK" w:cs="Times New Roman"/>
          <w:lang w:val="en-US" w:eastAsia="zh-CN"/>
        </w:rPr>
        <w:t>14</w:t>
      </w:r>
      <w:r>
        <w:rPr>
          <w:rFonts w:hint="default" w:ascii="Times New Roman" w:hAnsi="Times New Roman" w:eastAsia="方正楷体_GBK" w:cs="Times New Roman"/>
        </w:rPr>
        <w:t>日</w:t>
      </w:r>
    </w:p>
    <w:p>
      <w:pPr>
        <w:rPr>
          <w:rFonts w:hint="default" w:ascii="Times New Roman" w:hAnsi="Times New Roman" w:cs="Times New Roman"/>
        </w:rPr>
      </w:pP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outlineLvl w:val="1"/>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rPr>
        <w:instrText xml:space="preserve">TOC \o "1-2" \h \u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_Toc13460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第一部分 单位概况</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_Toc13460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_Toc16885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第二部分 2022年度单位决算情况说明</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_Toc16885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2</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_Toc26538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lang w:eastAsia="zh-CN"/>
        </w:rPr>
        <w:t>第三部分</w:t>
      </w:r>
      <w:r>
        <w:rPr>
          <w:rFonts w:hint="default" w:ascii="Times New Roman" w:hAnsi="Times New Roman" w:eastAsia="方正仿宋_GBK" w:cs="Times New Roman"/>
          <w:b w:val="0"/>
          <w:bCs w:val="0"/>
          <w:sz w:val="24"/>
          <w:szCs w:val="24"/>
          <w:lang w:val="en-US" w:eastAsia="zh-CN"/>
        </w:rPr>
        <w:t xml:space="preserve">  </w:t>
      </w:r>
      <w:r>
        <w:rPr>
          <w:rFonts w:hint="default" w:ascii="Times New Roman" w:hAnsi="Times New Roman" w:eastAsia="方正仿宋_GBK" w:cs="Times New Roman"/>
          <w:b w:val="0"/>
          <w:bCs w:val="0"/>
          <w:sz w:val="24"/>
          <w:szCs w:val="24"/>
        </w:rPr>
        <w:t>名词解释</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_Toc26538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9</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_Toc24673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第四部分 附件</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_Toc24673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12</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_Toc29457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第五部分 附表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_Toc29457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_Toc25200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一、收入支出决算总表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_Toc25200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_Toc16267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二、收入决算表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_Toc16267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_Toc9672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三、支出决算表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_Toc9672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_Toc15575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四、财政拨款收入支出决算总表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_Toc15575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_Toc4870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五、财政拨款支出决算明细表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_Toc4870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_Toc5204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六、一般公共预算财政拨款支出决算表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_Toc5204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_Toc17165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七、一般公共预算财政拨款支出决算明细表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_Toc17165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_Toc9321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八、一般公共预算财政拨款基本支出决算表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_Toc9321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_Toc26478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九、一般公共预算财政拨款项目支出决算表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_Toc26478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_Toc6664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十、政府性基金预算财政拨款收入支出决算表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_Toc6664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_Toc15467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十一、国有资本经营预算财政拨款收入支出决算表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_Toc15467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_Toc24345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十二、国有资本经营预算财政拨款支出决算表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_Toc24345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HYPERLINK \l _Toc28734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十三、财政拨款“三公”经费支出决算表</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PAGEREF _Toc28734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 w:val="24"/>
          <w:szCs w:val="24"/>
        </w:rPr>
        <w:t>13</w:t>
      </w:r>
      <w:r>
        <w:rPr>
          <w:rFonts w:hint="default" w:ascii="Times New Roman" w:hAnsi="Times New Roman" w:eastAsia="方正仿宋_GBK" w:cs="Times New Roman"/>
          <w:b w:val="0"/>
          <w:bCs w:val="0"/>
          <w:sz w:val="24"/>
          <w:szCs w:val="24"/>
        </w:rPr>
        <w:fldChar w:fldCharType="end"/>
      </w:r>
      <w:r>
        <w:rPr>
          <w:rFonts w:hint="default" w:ascii="Times New Roman" w:hAnsi="Times New Roman" w:eastAsia="方正仿宋_GBK" w:cs="Times New Roman"/>
          <w:b w:val="0"/>
          <w:bCs w:val="0"/>
          <w:sz w:val="24"/>
          <w:szCs w:val="24"/>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left"/>
        <w:textAlignment w:val="auto"/>
        <w:rPr>
          <w:rFonts w:hint="default" w:ascii="Times New Roman" w:hAnsi="Times New Roman" w:eastAsia="仿宋" w:cs="Times New Roman"/>
          <w:bCs/>
          <w:kern w:val="44"/>
          <w:sz w:val="24"/>
        </w:rPr>
      </w:pPr>
      <w:r>
        <w:rPr>
          <w:rFonts w:hint="default" w:ascii="Times New Roman" w:hAnsi="Times New Roman" w:eastAsia="方正仿宋_GBK" w:cs="Times New Roman"/>
        </w:rPr>
        <w:fldChar w:fldCharType="end"/>
      </w:r>
      <w:bookmarkStart w:id="15" w:name="_Toc15377196"/>
      <w:bookmarkStart w:id="16" w:name="_Toc15396599"/>
    </w:p>
    <w:p>
      <w:pPr>
        <w:pStyle w:val="3"/>
        <w:jc w:val="center"/>
        <w:rPr>
          <w:rFonts w:hint="default" w:ascii="Times New Roman" w:hAnsi="Times New Roman" w:eastAsia="黑体" w:cs="Times New Roman"/>
          <w:b w:val="0"/>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17" w:name="_Toc13460"/>
    </w:p>
    <w:p>
      <w:pPr>
        <w:pStyle w:val="3"/>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b w:val="0"/>
          <w:sz w:val="38"/>
          <w:szCs w:val="38"/>
        </w:rPr>
        <w:t>第一部分 单位</w:t>
      </w:r>
      <w:r>
        <w:rPr>
          <w:rStyle w:val="14"/>
          <w:rFonts w:hint="default" w:ascii="Times New Roman" w:hAnsi="Times New Roman" w:eastAsia="方正小标宋_GBK" w:cs="Times New Roman"/>
          <w:b w:val="0"/>
          <w:bCs w:val="0"/>
          <w:sz w:val="38"/>
          <w:szCs w:val="38"/>
        </w:rPr>
        <w:t>概况</w:t>
      </w:r>
      <w:bookmarkEnd w:id="15"/>
      <w:bookmarkEnd w:id="16"/>
      <w:bookmarkEnd w:id="17"/>
    </w:p>
    <w:p>
      <w:pPr>
        <w:pStyle w:val="4"/>
        <w:pageBreakBefore w:val="0"/>
        <w:widowControl w:val="0"/>
        <w:numPr>
          <w:numId w:val="0"/>
        </w:numPr>
        <w:kinsoku/>
        <w:wordWrap/>
        <w:overflowPunct/>
        <w:topLinePunct w:val="0"/>
        <w:autoSpaceDE/>
        <w:autoSpaceDN/>
        <w:bidi w:val="0"/>
        <w:adjustRightInd/>
        <w:snapToGrid/>
        <w:spacing w:before="0" w:after="0" w:line="576" w:lineRule="exact"/>
        <w:ind w:firstLine="660" w:firstLineChars="200"/>
        <w:textAlignment w:val="auto"/>
        <w:rPr>
          <w:rFonts w:hint="default" w:ascii="Times New Roman" w:hAnsi="Times New Roman" w:eastAsia="方正仿宋_GBK" w:cs="Times New Roman"/>
          <w:b w:val="0"/>
          <w:sz w:val="33"/>
          <w:szCs w:val="33"/>
        </w:rPr>
      </w:pPr>
      <w:bookmarkStart w:id="18" w:name="_Toc30927"/>
      <w:bookmarkStart w:id="19" w:name="_Toc15396600"/>
      <w:bookmarkStart w:id="20" w:name="_Toc15377197"/>
      <w:r>
        <w:rPr>
          <w:rStyle w:val="15"/>
          <w:rFonts w:hint="default" w:ascii="Times New Roman" w:hAnsi="Times New Roman" w:eastAsia="方正仿宋_GBK" w:cs="Times New Roman"/>
          <w:b w:val="0"/>
          <w:bCs w:val="0"/>
          <w:sz w:val="33"/>
          <w:szCs w:val="33"/>
          <w:lang w:val="en-US" w:eastAsia="zh-CN"/>
        </w:rPr>
        <w:t>一、</w:t>
      </w:r>
      <w:r>
        <w:rPr>
          <w:rStyle w:val="15"/>
          <w:rFonts w:hint="default" w:ascii="Times New Roman" w:hAnsi="Times New Roman" w:eastAsia="方正仿宋_GBK" w:cs="Times New Roman"/>
          <w:b w:val="0"/>
          <w:bCs w:val="0"/>
          <w:sz w:val="33"/>
          <w:szCs w:val="33"/>
        </w:rPr>
        <w:t>主要职责</w:t>
      </w:r>
      <w:bookmarkEnd w:id="18"/>
    </w:p>
    <w:p>
      <w:pPr>
        <w:pStyle w:val="4"/>
        <w:pageBreakBefore w:val="0"/>
        <w:widowControl w:val="0"/>
        <w:kinsoku/>
        <w:wordWrap/>
        <w:overflowPunct/>
        <w:topLinePunct w:val="0"/>
        <w:autoSpaceDE/>
        <w:autoSpaceDN/>
        <w:bidi w:val="0"/>
        <w:adjustRightInd/>
        <w:snapToGrid/>
        <w:spacing w:before="0" w:after="0" w:line="576" w:lineRule="exact"/>
        <w:ind w:firstLine="660" w:firstLineChars="200"/>
        <w:textAlignment w:val="auto"/>
        <w:rPr>
          <w:rFonts w:hint="default" w:ascii="Times New Roman" w:hAnsi="Times New Roman" w:eastAsia="方正仿宋_GBK" w:cs="Times New Roman"/>
          <w:b w:val="0"/>
          <w:sz w:val="33"/>
          <w:szCs w:val="33"/>
        </w:rPr>
      </w:pPr>
      <w:bookmarkStart w:id="21" w:name="_Toc1653"/>
      <w:r>
        <w:rPr>
          <w:rFonts w:hint="default" w:ascii="Times New Roman" w:hAnsi="Times New Roman" w:eastAsia="方正仿宋_GBK" w:cs="Times New Roman"/>
          <w:b w:val="0"/>
          <w:sz w:val="33"/>
          <w:szCs w:val="33"/>
        </w:rPr>
        <w:t>攀枝花市第二人民医院是集医疗、教学、预防、保健、康复、社区为一体的国家三级乙等综合医院，省政府确立的攀西职业病防中心和市委、市政府确立的攀西医养康复示范中心。是市内及周边县市的工伤医保、居民医保、职工医保定点医疗机构。编制床位1006张（其中医养206张）。</w:t>
      </w:r>
      <w:r>
        <w:rPr>
          <w:rFonts w:hint="default" w:ascii="Times New Roman" w:hAnsi="Times New Roman" w:eastAsia="方正仿宋_GBK" w:cs="Times New Roman"/>
          <w:b w:val="0"/>
          <w:bCs w:val="0"/>
          <w:color w:val="000000"/>
          <w:kern w:val="0"/>
          <w:sz w:val="33"/>
          <w:szCs w:val="33"/>
          <w:shd w:val="clear" w:color="auto" w:fill="FFFFFF"/>
          <w:lang w:val="zh-CN"/>
        </w:rPr>
        <w:t>在职职工</w:t>
      </w:r>
      <w:r>
        <w:rPr>
          <w:rFonts w:hint="default" w:ascii="Times New Roman" w:hAnsi="Times New Roman" w:eastAsia="方正仿宋_GBK" w:cs="Times New Roman"/>
          <w:b w:val="0"/>
          <w:bCs w:val="0"/>
          <w:color w:val="000000"/>
          <w:kern w:val="0"/>
          <w:sz w:val="33"/>
          <w:szCs w:val="33"/>
          <w:shd w:val="clear" w:color="auto" w:fill="FFFFFF"/>
        </w:rPr>
        <w:t>646人（</w:t>
      </w:r>
      <w:r>
        <w:rPr>
          <w:rFonts w:hint="default" w:ascii="Times New Roman" w:hAnsi="Times New Roman" w:eastAsia="方正仿宋_GBK" w:cs="Times New Roman"/>
          <w:b w:val="0"/>
          <w:bCs w:val="0"/>
          <w:color w:val="000000"/>
          <w:kern w:val="0"/>
          <w:sz w:val="33"/>
          <w:szCs w:val="33"/>
          <w:shd w:val="clear" w:color="auto" w:fill="FFFFFF"/>
          <w:lang w:val="zh-CN"/>
        </w:rPr>
        <w:t>在编31</w:t>
      </w:r>
      <w:r>
        <w:rPr>
          <w:rFonts w:hint="default" w:ascii="Times New Roman" w:hAnsi="Times New Roman" w:eastAsia="方正仿宋_GBK" w:cs="Times New Roman"/>
          <w:b w:val="0"/>
          <w:bCs w:val="0"/>
          <w:color w:val="000000"/>
          <w:kern w:val="0"/>
          <w:sz w:val="33"/>
          <w:szCs w:val="33"/>
          <w:shd w:val="clear" w:color="auto" w:fill="FFFFFF"/>
        </w:rPr>
        <w:t>3</w:t>
      </w:r>
      <w:r>
        <w:rPr>
          <w:rFonts w:hint="default" w:ascii="Times New Roman" w:hAnsi="Times New Roman" w:eastAsia="方正仿宋_GBK" w:cs="Times New Roman"/>
          <w:b w:val="0"/>
          <w:bCs w:val="0"/>
          <w:color w:val="000000"/>
          <w:kern w:val="0"/>
          <w:sz w:val="33"/>
          <w:szCs w:val="33"/>
          <w:shd w:val="clear" w:color="auto" w:fill="FFFFFF"/>
          <w:lang w:val="zh-CN"/>
        </w:rPr>
        <w:t>人，聘用</w:t>
      </w:r>
      <w:r>
        <w:rPr>
          <w:rFonts w:hint="default" w:ascii="Times New Roman" w:hAnsi="Times New Roman" w:eastAsia="方正仿宋_GBK" w:cs="Times New Roman"/>
          <w:b w:val="0"/>
          <w:bCs w:val="0"/>
          <w:color w:val="000000"/>
          <w:kern w:val="0"/>
          <w:sz w:val="33"/>
          <w:szCs w:val="33"/>
          <w:shd w:val="clear" w:color="auto" w:fill="FFFFFF"/>
        </w:rPr>
        <w:t xml:space="preserve"> 333人）。其中高级专业技术人员163人（正高52人），中级128人，硕士研究生13人。医院内设机构64个（临床业务部门49个，管理科室15个）。</w:t>
      </w:r>
      <w:r>
        <w:rPr>
          <w:rFonts w:hint="default" w:ascii="Times New Roman" w:hAnsi="Times New Roman" w:eastAsia="方正仿宋_GBK" w:cs="Times New Roman"/>
          <w:b w:val="0"/>
          <w:bCs w:val="0"/>
          <w:sz w:val="33"/>
          <w:szCs w:val="33"/>
        </w:rPr>
        <w:t>医院拥有1.5T核磁共振、多排螺旋CT、DSA数字血管造影机、</w:t>
      </w:r>
      <w:r>
        <w:rPr>
          <w:rFonts w:hint="default" w:ascii="Times New Roman" w:hAnsi="Times New Roman" w:eastAsia="方正仿宋_GBK" w:cs="Times New Roman"/>
          <w:b w:val="0"/>
          <w:sz w:val="33"/>
          <w:szCs w:val="33"/>
        </w:rPr>
        <w:t>乳腺X光机、脊柱内镜系统、DR、高压氧舱等先进医疗设备。年门诊25.5万人次（不含单纯核酸检测人次），其中专家门诊16.4万人次，年急诊3.76万人次，院前急救2701人次，年入院病人数19521人次，出院病人数19057人次，年手术4606台次，传染病直报率100%。</w:t>
      </w:r>
      <w:bookmarkEnd w:id="21"/>
    </w:p>
    <w:p>
      <w:pPr>
        <w:pStyle w:val="4"/>
        <w:pageBreakBefore w:val="0"/>
        <w:widowControl w:val="0"/>
        <w:kinsoku/>
        <w:wordWrap/>
        <w:overflowPunct/>
        <w:topLinePunct w:val="0"/>
        <w:autoSpaceDE/>
        <w:autoSpaceDN/>
        <w:bidi w:val="0"/>
        <w:adjustRightInd/>
        <w:snapToGrid/>
        <w:spacing w:before="0" w:after="0" w:line="576" w:lineRule="exact"/>
        <w:ind w:firstLine="660" w:firstLineChars="200"/>
        <w:textAlignment w:val="auto"/>
        <w:rPr>
          <w:rFonts w:hint="default" w:ascii="Times New Roman" w:hAnsi="Times New Roman" w:eastAsia="方正黑体_GBK" w:cs="Times New Roman"/>
          <w:b w:val="0"/>
          <w:sz w:val="33"/>
          <w:szCs w:val="33"/>
        </w:rPr>
      </w:pPr>
      <w:bookmarkStart w:id="22" w:name="_Toc25262"/>
      <w:r>
        <w:rPr>
          <w:rFonts w:hint="default" w:ascii="Times New Roman" w:hAnsi="Times New Roman" w:eastAsia="方正黑体_GBK" w:cs="Times New Roman"/>
          <w:b w:val="0"/>
          <w:sz w:val="33"/>
          <w:szCs w:val="33"/>
        </w:rPr>
        <w:t>二、机构设置</w:t>
      </w:r>
      <w:bookmarkEnd w:id="22"/>
    </w:p>
    <w:p>
      <w:pPr>
        <w:pageBreakBefore w:val="0"/>
        <w:widowControl w:val="0"/>
        <w:pBdr>
          <w:bottom w:val="single" w:color="FFFFFF" w:sz="4" w:space="31"/>
        </w:pBdr>
        <w:shd w:val="clear" w:color="auto" w:fill="FFFFFF"/>
        <w:tabs>
          <w:tab w:val="left" w:pos="1440"/>
        </w:tabs>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b/>
          <w:snapToGrid w:val="0"/>
          <w:color w:val="000000"/>
          <w:kern w:val="0"/>
          <w:sz w:val="33"/>
          <w:szCs w:val="33"/>
        </w:rPr>
      </w:pPr>
      <w:r>
        <w:rPr>
          <w:rFonts w:hint="default" w:ascii="Times New Roman" w:hAnsi="Times New Roman" w:eastAsia="方正仿宋_GBK" w:cs="Times New Roman"/>
          <w:sz w:val="33"/>
          <w:szCs w:val="33"/>
        </w:rPr>
        <w:t>攀枝花市第二人民医院属独立核算的事业单位，无下属单位。</w:t>
      </w:r>
    </w:p>
    <w:p>
      <w:pPr>
        <w:rPr>
          <w:rFonts w:hint="default" w:ascii="Times New Roman" w:hAnsi="Times New Roman" w:cs="Times New Roman"/>
        </w:rPr>
      </w:pPr>
    </w:p>
    <w:bookmarkEnd w:id="19"/>
    <w:bookmarkEnd w:id="20"/>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Fonts w:hint="default" w:ascii="Times New Roman" w:hAnsi="Times New Roman" w:eastAsia="方正小标宋_GBK" w:cs="Times New Roman"/>
          <w:b w:val="0"/>
          <w:sz w:val="38"/>
          <w:szCs w:val="38"/>
        </w:rPr>
      </w:pPr>
      <w:bookmarkStart w:id="23" w:name="_Toc16885"/>
      <w:bookmarkStart w:id="24" w:name="_Toc15377204"/>
      <w:bookmarkStart w:id="25" w:name="_Toc15396602"/>
      <w:r>
        <w:rPr>
          <w:rFonts w:hint="default" w:ascii="Times New Roman" w:hAnsi="Times New Roman" w:eastAsia="方正小标宋_GBK" w:cs="Times New Roman"/>
          <w:b w:val="0"/>
          <w:sz w:val="38"/>
          <w:szCs w:val="38"/>
        </w:rPr>
        <w:t>第二部分 2022年度</w:t>
      </w:r>
      <w:r>
        <w:rPr>
          <w:rStyle w:val="14"/>
          <w:rFonts w:hint="default" w:ascii="Times New Roman" w:hAnsi="Times New Roman" w:eastAsia="方正小标宋_GBK" w:cs="Times New Roman"/>
          <w:b w:val="0"/>
          <w:bCs/>
          <w:sz w:val="38"/>
          <w:szCs w:val="38"/>
        </w:rPr>
        <w:t>单位决算情况说明</w:t>
      </w:r>
      <w:bookmarkEnd w:id="23"/>
      <w:bookmarkEnd w:id="24"/>
      <w:bookmarkEnd w:id="25"/>
    </w:p>
    <w:p>
      <w:pPr>
        <w:pStyle w:val="16"/>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outlineLvl w:val="1"/>
        <w:rPr>
          <w:rStyle w:val="15"/>
          <w:rFonts w:hint="default" w:ascii="Times New Roman" w:hAnsi="Times New Roman" w:eastAsia="方正黑体_GBK" w:cs="Times New Roman"/>
          <w:b w:val="0"/>
          <w:sz w:val="33"/>
          <w:szCs w:val="33"/>
        </w:rPr>
      </w:pPr>
      <w:bookmarkStart w:id="26" w:name="_Toc15396603"/>
      <w:bookmarkStart w:id="27" w:name="_Toc15377205"/>
      <w:bookmarkStart w:id="28" w:name="_Toc32252"/>
      <w:r>
        <w:rPr>
          <w:rFonts w:hint="default" w:ascii="Times New Roman" w:hAnsi="Times New Roman" w:eastAsia="方正黑体_GBK" w:cs="Times New Roman"/>
          <w:sz w:val="33"/>
          <w:szCs w:val="33"/>
        </w:rPr>
        <w:t>收</w:t>
      </w:r>
      <w:r>
        <w:rPr>
          <w:rStyle w:val="15"/>
          <w:rFonts w:hint="default" w:ascii="Times New Roman" w:hAnsi="Times New Roman" w:eastAsia="方正黑体_GBK" w:cs="Times New Roman"/>
          <w:b w:val="0"/>
          <w:sz w:val="33"/>
          <w:szCs w:val="33"/>
        </w:rPr>
        <w:t>入支出决算总体情况说明</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2022年度收、支总计23823.64万元。与2021年相比，收、支总计各增加1104.52万元，增长4.8%。主要变动原因是受新冠感染影响，疫情防控物资、人力支出增加，医院业务收入下降，支出增长速度较大。</w:t>
      </w:r>
    </w:p>
    <w:p>
      <w:pPr>
        <w:pStyle w:val="2"/>
        <w:spacing w:before="93"/>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numPr>
          <w:ilvl w:val="0"/>
          <w:numId w:val="1"/>
        </w:numPr>
        <w:spacing w:line="600" w:lineRule="exact"/>
        <w:ind w:firstLineChars="0"/>
        <w:outlineLvl w:val="1"/>
        <w:rPr>
          <w:rStyle w:val="15"/>
          <w:rFonts w:hint="default" w:ascii="Times New Roman" w:hAnsi="Times New Roman" w:eastAsia="方正黑体_GBK" w:cs="Times New Roman"/>
          <w:b w:val="0"/>
          <w:sz w:val="33"/>
          <w:szCs w:val="33"/>
        </w:rPr>
      </w:pPr>
      <w:bookmarkStart w:id="29" w:name="_Toc23364"/>
      <w:bookmarkStart w:id="30" w:name="_Toc15396604"/>
      <w:bookmarkStart w:id="31" w:name="_Toc15377206"/>
      <w:r>
        <w:rPr>
          <w:rFonts w:hint="default" w:ascii="Times New Roman" w:hAnsi="Times New Roman" w:eastAsia="方正黑体_GBK" w:cs="Times New Roman"/>
          <w:sz w:val="33"/>
          <w:szCs w:val="33"/>
        </w:rPr>
        <w:t>收</w:t>
      </w:r>
      <w:r>
        <w:rPr>
          <w:rStyle w:val="15"/>
          <w:rFonts w:hint="default" w:ascii="Times New Roman" w:hAnsi="Times New Roman" w:eastAsia="方正黑体_GBK" w:cs="Times New Roman"/>
          <w:b w:val="0"/>
          <w:sz w:val="33"/>
          <w:szCs w:val="33"/>
        </w:rPr>
        <w:t>入决算情况说明</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outlineLvl w:val="1"/>
        <w:rPr>
          <w:rFonts w:hint="default" w:ascii="Times New Roman" w:hAnsi="Times New Roman" w:eastAsia="方正仿宋_GBK" w:cs="Times New Roman"/>
          <w:sz w:val="33"/>
          <w:szCs w:val="33"/>
        </w:rPr>
      </w:pPr>
      <w:bookmarkStart w:id="32" w:name="_Toc29312"/>
      <w:r>
        <w:rPr>
          <w:rFonts w:hint="default" w:ascii="Times New Roman" w:hAnsi="Times New Roman" w:eastAsia="方正仿宋_GBK" w:cs="Times New Roman"/>
          <w:sz w:val="33"/>
          <w:szCs w:val="33"/>
        </w:rPr>
        <w:t>2022年本年收入合计21695.08万元，其中：一般公共预算财政拨款收入2217.70万元，占10.22%；政府性基金预算财政拨款收入0万元；国有资本经营预算财政拨款收入0万元；上级补助收入0万元；事业收入19091.96万元，占88.00%；经营收入0万元；附属单位上缴收入0万元；其他收入385.43万元，占1.77%。</w:t>
      </w:r>
      <w:bookmarkEnd w:id="32"/>
    </w:p>
    <w:p>
      <w:pPr>
        <w:pStyle w:val="2"/>
        <w:spacing w:before="9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4365625" cy="1743710"/>
            <wp:effectExtent l="4445" t="4445" r="1143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6"/>
        <w:numPr>
          <w:ilvl w:val="0"/>
          <w:numId w:val="1"/>
        </w:numPr>
        <w:spacing w:line="600" w:lineRule="exact"/>
        <w:ind w:firstLineChars="0"/>
        <w:outlineLvl w:val="1"/>
        <w:rPr>
          <w:rStyle w:val="15"/>
          <w:rFonts w:hint="default" w:ascii="Times New Roman" w:hAnsi="Times New Roman" w:eastAsia="方正黑体_GBK" w:cs="Times New Roman"/>
          <w:b w:val="0"/>
          <w:sz w:val="33"/>
          <w:szCs w:val="33"/>
        </w:rPr>
      </w:pPr>
      <w:bookmarkStart w:id="33" w:name="_Toc15396605"/>
      <w:bookmarkStart w:id="34" w:name="_Toc13827"/>
      <w:bookmarkStart w:id="35" w:name="_Toc15377207"/>
      <w:r>
        <w:rPr>
          <w:rFonts w:hint="default" w:ascii="Times New Roman" w:hAnsi="Times New Roman" w:eastAsia="方正黑体_GBK" w:cs="Times New Roman"/>
          <w:sz w:val="33"/>
          <w:szCs w:val="33"/>
        </w:rPr>
        <w:t>支</w:t>
      </w:r>
      <w:r>
        <w:rPr>
          <w:rStyle w:val="15"/>
          <w:rFonts w:hint="default" w:ascii="Times New Roman" w:hAnsi="Times New Roman" w:eastAsia="方正黑体_GBK" w:cs="Times New Roman"/>
          <w:b w:val="0"/>
          <w:sz w:val="33"/>
          <w:szCs w:val="33"/>
        </w:rPr>
        <w:t>出决算情况说明</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outlineLvl w:val="1"/>
        <w:rPr>
          <w:rFonts w:hint="default" w:ascii="Times New Roman" w:hAnsi="Times New Roman" w:eastAsia="方正仿宋_GBK" w:cs="Times New Roman"/>
          <w:sz w:val="33"/>
          <w:szCs w:val="33"/>
        </w:rPr>
      </w:pPr>
      <w:bookmarkStart w:id="36" w:name="_Toc19588"/>
      <w:r>
        <w:rPr>
          <w:rFonts w:hint="default" w:ascii="Times New Roman" w:hAnsi="Times New Roman" w:eastAsia="方正仿宋_GBK" w:cs="Times New Roman"/>
          <w:sz w:val="33"/>
          <w:szCs w:val="33"/>
        </w:rPr>
        <w:t>2022年本年支出合计23823.64万元，其中：基本支出23219.68万元，占97.46%；项目支出603.96万元，占2.53%;上缴上级支出0万元；经营支出0万元；对附属单位补助支出0万元。</w:t>
      </w:r>
      <w:bookmarkEnd w:id="36"/>
    </w:p>
    <w:p>
      <w:pPr>
        <w:rPr>
          <w:rFonts w:hint="default" w:ascii="Times New Roman" w:hAnsi="Times New Roman" w:cs="Times New Roman"/>
        </w:rPr>
      </w:pPr>
      <w:r>
        <w:rPr>
          <w:rFonts w:hint="default" w:ascii="Times New Roman" w:hAnsi="Times New Roman" w:cs="Times New Roman"/>
        </w:rPr>
        <w:drawing>
          <wp:inline distT="0" distB="0" distL="114300" distR="114300">
            <wp:extent cx="3890645" cy="2524760"/>
            <wp:effectExtent l="4445" t="4445" r="10160"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60" w:firstLineChars="200"/>
        <w:outlineLvl w:val="1"/>
        <w:rPr>
          <w:rStyle w:val="15"/>
          <w:rFonts w:hint="default" w:ascii="Times New Roman" w:hAnsi="Times New Roman" w:eastAsia="方正黑体_GBK" w:cs="Times New Roman"/>
          <w:b w:val="0"/>
          <w:sz w:val="33"/>
          <w:szCs w:val="33"/>
        </w:rPr>
      </w:pPr>
      <w:bookmarkStart w:id="37" w:name="_Toc12244"/>
      <w:r>
        <w:rPr>
          <w:rFonts w:hint="default" w:ascii="Times New Roman" w:hAnsi="Times New Roman" w:eastAsia="方正黑体_GBK" w:cs="Times New Roman"/>
          <w:sz w:val="33"/>
          <w:szCs w:val="33"/>
        </w:rPr>
        <w:t>四、财</w:t>
      </w:r>
      <w:r>
        <w:rPr>
          <w:rStyle w:val="15"/>
          <w:rFonts w:hint="default" w:ascii="Times New Roman" w:hAnsi="Times New Roman" w:eastAsia="方正黑体_GBK" w:cs="Times New Roman"/>
          <w:b w:val="0"/>
          <w:sz w:val="33"/>
          <w:szCs w:val="33"/>
        </w:rPr>
        <w:t>政拨款收入支出决算总体情况说明</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2022年财政拨款收、支总计2559.73万元。与2021年相比，财政拨款收、支总计各增加574.25万元，增长28.92%。主要变动原因是财政增加了预算指标。</w:t>
      </w:r>
    </w:p>
    <w:p>
      <w:pPr>
        <w:pStyle w:val="2"/>
        <w:spacing w:before="93"/>
        <w:rPr>
          <w:rFonts w:hint="default" w:ascii="Times New Roman" w:hAnsi="Times New Roman" w:eastAsia="仿宋" w:cs="Times New Roman"/>
        </w:rPr>
      </w:pPr>
      <w:r>
        <w:rPr>
          <w:rFonts w:hint="default" w:ascii="Times New Roman" w:hAnsi="Times New Roman" w:eastAsia="仿宋" w:cs="Times New Roman"/>
        </w:rPr>
        <w:drawing>
          <wp:inline distT="0" distB="0" distL="114300" distR="114300">
            <wp:extent cx="4327525" cy="3048635"/>
            <wp:effectExtent l="4445" t="4445" r="1143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outlineLvl w:val="1"/>
        <w:rPr>
          <w:rStyle w:val="15"/>
          <w:rFonts w:hint="default" w:ascii="Times New Roman" w:hAnsi="Times New Roman" w:eastAsia="方正黑体_GBK" w:cs="Times New Roman"/>
          <w:b w:val="0"/>
          <w:sz w:val="33"/>
          <w:szCs w:val="33"/>
        </w:rPr>
      </w:pPr>
      <w:bookmarkStart w:id="38" w:name="_Toc29597"/>
      <w:bookmarkStart w:id="39" w:name="_Toc15377209"/>
      <w:bookmarkStart w:id="40" w:name="_Toc15396607"/>
      <w:r>
        <w:rPr>
          <w:rFonts w:hint="default" w:ascii="Times New Roman" w:hAnsi="Times New Roman" w:eastAsia="方正黑体_GBK" w:cs="Times New Roman"/>
          <w:sz w:val="33"/>
          <w:szCs w:val="33"/>
        </w:rPr>
        <w:t>五、</w:t>
      </w:r>
      <w:r>
        <w:rPr>
          <w:rFonts w:hint="default" w:ascii="Times New Roman" w:hAnsi="Times New Roman" w:eastAsia="方正黑体_GBK" w:cs="Times New Roman"/>
          <w:b/>
          <w:sz w:val="33"/>
          <w:szCs w:val="33"/>
        </w:rPr>
        <w:t>一</w:t>
      </w:r>
      <w:r>
        <w:rPr>
          <w:rStyle w:val="15"/>
          <w:rFonts w:hint="default" w:ascii="Times New Roman" w:hAnsi="Times New Roman" w:eastAsia="方正黑体_GBK" w:cs="Times New Roman"/>
          <w:b w:val="0"/>
          <w:sz w:val="33"/>
          <w:szCs w:val="33"/>
        </w:rPr>
        <w:t>般公共预算财政拨款支出决算情况说明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outlineLvl w:val="2"/>
        <w:rPr>
          <w:rFonts w:hint="default" w:ascii="Times New Roman" w:hAnsi="Times New Roman" w:eastAsia="方正楷体_GBK" w:cs="Times New Roman"/>
          <w:b/>
          <w:sz w:val="33"/>
          <w:szCs w:val="33"/>
        </w:rPr>
      </w:pPr>
      <w:bookmarkStart w:id="41" w:name="_Toc15377210"/>
      <w:r>
        <w:rPr>
          <w:rFonts w:hint="default" w:ascii="Times New Roman" w:hAnsi="Times New Roman" w:eastAsia="方正楷体_GBK" w:cs="Times New Roman"/>
          <w:b/>
          <w:sz w:val="33"/>
          <w:szCs w:val="33"/>
        </w:rPr>
        <w:t>（一）一般公共预算财政拨款支出决算总体情况</w:t>
      </w:r>
      <w:bookmarkEnd w:id="41"/>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2022年一般公共预算财政拨款支出2559.73万元，占本年支出合计的10.74%。与2021年相比，一般公共预算财政拨款支出增加574.25万元，增长28.92%；主要变动原因是部分项目拨款的增加。</w:t>
      </w:r>
    </w:p>
    <w:p>
      <w:pPr>
        <w:pStyle w:val="2"/>
        <w:spacing w:before="93"/>
        <w:jc w:val="center"/>
        <w:rPr>
          <w:rFonts w:hint="default" w:ascii="Times New Roman" w:hAnsi="Times New Roman" w:eastAsia="仿宋" w:cs="Times New Roman"/>
        </w:rPr>
      </w:pPr>
      <w:r>
        <w:rPr>
          <w:rFonts w:hint="default" w:ascii="Times New Roman" w:hAnsi="Times New Roman" w:eastAsia="仿宋" w:cs="Times New Roman"/>
        </w:rPr>
        <w:drawing>
          <wp:inline distT="0" distB="0" distL="114300" distR="114300">
            <wp:extent cx="4047490" cy="2750820"/>
            <wp:effectExtent l="4445" t="4445" r="571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outlineLvl w:val="2"/>
        <w:rPr>
          <w:rFonts w:hint="default" w:ascii="Times New Roman" w:hAnsi="Times New Roman" w:eastAsia="方正楷体_GBK" w:cs="Times New Roman"/>
          <w:b/>
          <w:sz w:val="33"/>
          <w:szCs w:val="33"/>
        </w:rPr>
      </w:pPr>
      <w:bookmarkStart w:id="42" w:name="_Toc15377211"/>
      <w:r>
        <w:rPr>
          <w:rFonts w:hint="default" w:ascii="Times New Roman" w:hAnsi="Times New Roman" w:eastAsia="方正楷体_GBK" w:cs="Times New Roman"/>
          <w:b/>
          <w:sz w:val="33"/>
          <w:szCs w:val="33"/>
        </w:rPr>
        <w:t>（二）一般公共预算财政拨款支出决算结构情况</w:t>
      </w:r>
      <w:bookmarkEnd w:id="42"/>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支出2559.73万元，主要用于以下方面:一般公共服务支出5万元，占0.19%；教育支出0万元；科学技术支出0万元；文化旅游体育与传媒支出0万元；社会保障和就业支出1679.35万元，占65.61%；卫生健康支出875.38万元，占34.20%；住房保障支出0万元。</w:t>
      </w:r>
    </w:p>
    <w:p>
      <w:pPr>
        <w:pStyle w:val="2"/>
        <w:spacing w:before="93"/>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114300" distR="114300">
            <wp:extent cx="4367530" cy="1327785"/>
            <wp:effectExtent l="4445" t="4445" r="9525" b="203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bidi w:val="0"/>
        <w:snapToGrid/>
        <w:spacing w:line="576" w:lineRule="exact"/>
        <w:ind w:firstLine="663" w:firstLineChars="200"/>
        <w:textAlignment w:val="auto"/>
        <w:outlineLvl w:val="2"/>
        <w:rPr>
          <w:rFonts w:hint="default" w:ascii="Times New Roman" w:hAnsi="Times New Roman" w:eastAsia="方正楷体_GBK" w:cs="Times New Roman"/>
          <w:b/>
          <w:sz w:val="33"/>
          <w:szCs w:val="33"/>
        </w:rPr>
      </w:pPr>
      <w:bookmarkStart w:id="43" w:name="_Toc15377212"/>
      <w:r>
        <w:rPr>
          <w:rFonts w:hint="default" w:ascii="Times New Roman" w:hAnsi="Times New Roman" w:eastAsia="方正楷体_GBK" w:cs="Times New Roman"/>
          <w:b/>
          <w:sz w:val="33"/>
          <w:szCs w:val="33"/>
        </w:rPr>
        <w:t>（三）一般公共预算财政拨款支出决算具体情况</w:t>
      </w:r>
      <w:bookmarkEnd w:id="43"/>
    </w:p>
    <w:p>
      <w:pPr>
        <w:keepNext w:val="0"/>
        <w:keepLines w:val="0"/>
        <w:pageBreakBefore w:val="0"/>
        <w:widowControl w:val="0"/>
        <w:kinsoku/>
        <w:wordWrap/>
        <w:overflowPunct/>
        <w:topLinePunct w:val="0"/>
        <w:bidi w:val="0"/>
        <w:snapToGrid/>
        <w:spacing w:line="576" w:lineRule="exact"/>
        <w:ind w:firstLine="660" w:firstLineChars="200"/>
        <w:textAlignment w:val="auto"/>
        <w:outlineLvl w:val="2"/>
        <w:rPr>
          <w:rFonts w:hint="default" w:ascii="Times New Roman" w:hAnsi="Times New Roman" w:eastAsia="方正仿宋_GBK" w:cs="Times New Roman"/>
          <w:bCs/>
          <w:sz w:val="33"/>
          <w:szCs w:val="33"/>
        </w:rPr>
      </w:pPr>
      <w:bookmarkStart w:id="44" w:name="_Toc15377444"/>
      <w:bookmarkStart w:id="45" w:name="_Toc15377213"/>
      <w:bookmarkStart w:id="46" w:name="_Toc15378460"/>
      <w:r>
        <w:rPr>
          <w:rFonts w:hint="default" w:ascii="Times New Roman" w:hAnsi="Times New Roman" w:eastAsia="方正仿宋_GBK" w:cs="Times New Roman"/>
          <w:bCs/>
          <w:sz w:val="33"/>
          <w:szCs w:val="33"/>
        </w:rPr>
        <w:t>2022年一般公共预算支出决算数为2559.73万元，</w:t>
      </w:r>
      <w:r>
        <w:rPr>
          <w:rStyle w:val="13"/>
          <w:rFonts w:hint="default" w:ascii="Times New Roman" w:hAnsi="Times New Roman" w:eastAsia="方正仿宋_GBK" w:cs="Times New Roman"/>
          <w:b w:val="0"/>
          <w:bCs/>
          <w:sz w:val="33"/>
          <w:szCs w:val="33"/>
        </w:rPr>
        <w:t>完成预算100%。其中：</w:t>
      </w:r>
      <w:bookmarkEnd w:id="44"/>
      <w:bookmarkEnd w:id="45"/>
      <w:bookmarkEnd w:id="46"/>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bCs/>
          <w:sz w:val="33"/>
          <w:szCs w:val="33"/>
        </w:rPr>
      </w:pPr>
      <w:r>
        <w:rPr>
          <w:rStyle w:val="13"/>
          <w:rFonts w:hint="default" w:ascii="Times New Roman" w:hAnsi="Times New Roman" w:eastAsia="方正仿宋_GBK" w:cs="Times New Roman"/>
          <w:b w:val="0"/>
          <w:bCs/>
          <w:sz w:val="33"/>
          <w:szCs w:val="33"/>
        </w:rPr>
        <w:t>1.一般公共服务（类）政府办公厅（室）及相关机构事务（款）信访事务（项）: 支出决算为5万元，完成预算100%。</w:t>
      </w:r>
    </w:p>
    <w:p>
      <w:pPr>
        <w:keepNext w:val="0"/>
        <w:keepLines w:val="0"/>
        <w:pageBreakBefore w:val="0"/>
        <w:widowControl w:val="0"/>
        <w:kinsoku/>
        <w:wordWrap/>
        <w:overflowPunct/>
        <w:topLinePunct w:val="0"/>
        <w:bidi w:val="0"/>
        <w:snapToGrid/>
        <w:spacing w:line="576" w:lineRule="exact"/>
        <w:ind w:firstLine="660" w:firstLineChars="200"/>
        <w:textAlignment w:val="auto"/>
        <w:rPr>
          <w:rStyle w:val="13"/>
          <w:rFonts w:hint="default" w:ascii="Times New Roman" w:hAnsi="Times New Roman" w:eastAsia="方正仿宋_GBK" w:cs="Times New Roman"/>
          <w:b w:val="0"/>
          <w:bCs/>
          <w:sz w:val="33"/>
          <w:szCs w:val="33"/>
        </w:rPr>
      </w:pPr>
      <w:r>
        <w:rPr>
          <w:rStyle w:val="13"/>
          <w:rFonts w:hint="default" w:ascii="Times New Roman" w:hAnsi="Times New Roman" w:eastAsia="方正仿宋_GBK" w:cs="Times New Roman"/>
          <w:b w:val="0"/>
          <w:bCs/>
          <w:sz w:val="33"/>
          <w:szCs w:val="33"/>
        </w:rPr>
        <w:t>2.社会保障和就业（类）人力资源和社会保障管理事务（款）其他人力资源和社会保障管理事务支出（项）: 支出决算为1万元，完成预算100%；社会保障和就业（类）行政事业单位养老支出（款）事业单位离退休（项）：: 支出决算为715.73万元，完成预算100%；社会保障和就业（类）行政事业单位养老支出（款）机关事业单位基本养老保险缴费支出（项）: 支出决算为908.31万元，完成预算100%；社会保障和就业（类）抚恤（款）死亡抚恤（项）: 支出决算为54.31万元，完成预算100%。</w:t>
      </w:r>
    </w:p>
    <w:p>
      <w:pPr>
        <w:keepNext w:val="0"/>
        <w:keepLines w:val="0"/>
        <w:pageBreakBefore w:val="0"/>
        <w:widowControl w:val="0"/>
        <w:kinsoku/>
        <w:wordWrap/>
        <w:overflowPunct/>
        <w:topLinePunct w:val="0"/>
        <w:bidi w:val="0"/>
        <w:snapToGrid/>
        <w:spacing w:line="576" w:lineRule="exact"/>
        <w:ind w:firstLine="660" w:firstLineChars="200"/>
        <w:textAlignment w:val="auto"/>
        <w:rPr>
          <w:rStyle w:val="13"/>
          <w:rFonts w:hint="default" w:ascii="Times New Roman" w:hAnsi="Times New Roman" w:eastAsia="方正仿宋_GBK" w:cs="Times New Roman"/>
          <w:b w:val="0"/>
          <w:sz w:val="33"/>
          <w:szCs w:val="33"/>
        </w:rPr>
      </w:pPr>
      <w:r>
        <w:rPr>
          <w:rStyle w:val="13"/>
          <w:rFonts w:hint="default" w:ascii="Times New Roman" w:hAnsi="Times New Roman" w:eastAsia="方正仿宋_GBK" w:cs="Times New Roman"/>
          <w:b w:val="0"/>
          <w:sz w:val="33"/>
          <w:szCs w:val="33"/>
        </w:rPr>
        <w:t>3.</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（类）公立医院（款）综合医院（项）:支出决算为294.42万元，完成预算100%；</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（类）公共卫生（款）其他公立医院支出（项）:支出决算为73万元，完成预算100%；</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（类）公共卫生（款）基本公共卫生服务（项）:支出决算为26万元，完成预算100%；</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（类）公共卫生（款）重大公共卫生服务（项）:支出决算为7.69万元，完成预算100%；</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（类）公共卫生（款）突发公共卫生事件应急处理（项）:支出决算为3.9万元，完成预算100%；</w:t>
      </w:r>
      <w:r>
        <w:rPr>
          <w:rFonts w:hint="default" w:ascii="Times New Roman" w:hAnsi="Times New Roman" w:eastAsia="方正仿宋_GBK" w:cs="Times New Roman"/>
          <w:sz w:val="33"/>
          <w:szCs w:val="33"/>
        </w:rPr>
        <w:t>卫生健康</w:t>
      </w:r>
      <w:r>
        <w:rPr>
          <w:rStyle w:val="13"/>
          <w:rFonts w:hint="default" w:ascii="Times New Roman" w:hAnsi="Times New Roman" w:eastAsia="方正仿宋_GBK" w:cs="Times New Roman"/>
          <w:b w:val="0"/>
          <w:sz w:val="33"/>
          <w:szCs w:val="33"/>
        </w:rPr>
        <w:t>（类）其他卫生健康支出（款）其他卫生健康支出（项）:支出决算为470.37万元，完成预算100%。</w:t>
      </w:r>
    </w:p>
    <w:p>
      <w:pPr>
        <w:keepNext w:val="0"/>
        <w:keepLines w:val="0"/>
        <w:pageBreakBefore w:val="0"/>
        <w:widowControl w:val="0"/>
        <w:tabs>
          <w:tab w:val="right" w:pos="8306"/>
        </w:tabs>
        <w:kinsoku/>
        <w:wordWrap/>
        <w:overflowPunct/>
        <w:topLinePunct w:val="0"/>
        <w:bidi w:val="0"/>
        <w:snapToGrid/>
        <w:spacing w:line="576" w:lineRule="exact"/>
        <w:ind w:firstLine="640"/>
        <w:textAlignment w:val="auto"/>
        <w:outlineLvl w:val="1"/>
        <w:rPr>
          <w:rStyle w:val="15"/>
          <w:rFonts w:hint="default" w:ascii="Times New Roman" w:hAnsi="Times New Roman" w:eastAsia="方正黑体_GBK" w:cs="Times New Roman"/>
          <w:strike/>
          <w:dstrike w:val="0"/>
          <w:sz w:val="33"/>
          <w:szCs w:val="33"/>
        </w:rPr>
      </w:pPr>
      <w:bookmarkStart w:id="47" w:name="_Toc15396608"/>
      <w:bookmarkStart w:id="48" w:name="_Toc15377214"/>
      <w:bookmarkStart w:id="49" w:name="_Toc30858"/>
      <w:r>
        <w:rPr>
          <w:rFonts w:hint="default" w:ascii="Times New Roman" w:hAnsi="Times New Roman" w:eastAsia="方正黑体_GBK" w:cs="Times New Roman"/>
          <w:sz w:val="33"/>
          <w:szCs w:val="33"/>
        </w:rPr>
        <w:t>六</w:t>
      </w:r>
      <w:r>
        <w:rPr>
          <w:rFonts w:hint="default" w:ascii="Times New Roman" w:hAnsi="Times New Roman" w:eastAsia="方正黑体_GBK" w:cs="Times New Roman"/>
          <w:b/>
          <w:sz w:val="33"/>
          <w:szCs w:val="33"/>
        </w:rPr>
        <w:t>、一</w:t>
      </w:r>
      <w:r>
        <w:rPr>
          <w:rStyle w:val="15"/>
          <w:rFonts w:hint="default" w:ascii="Times New Roman" w:hAnsi="Times New Roman" w:eastAsia="方正黑体_GBK" w:cs="Times New Roman"/>
          <w:b w:val="0"/>
          <w:sz w:val="33"/>
          <w:szCs w:val="33"/>
        </w:rPr>
        <w:t>般公共预算财政拨款基本支出决算情况说明</w:t>
      </w:r>
      <w:bookmarkEnd w:id="47"/>
      <w:bookmarkEnd w:id="48"/>
      <w:bookmarkEnd w:id="49"/>
      <w:r>
        <w:rPr>
          <w:rStyle w:val="15"/>
          <w:rFonts w:hint="default" w:ascii="Times New Roman" w:hAnsi="Times New Roman" w:eastAsia="方正黑体_GBK" w:cs="Times New Roman"/>
          <w:b w:val="0"/>
          <w:sz w:val="33"/>
          <w:szCs w:val="33"/>
        </w:rPr>
        <w:tab/>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方正仿宋_GBK" w:cs="Times New Roman"/>
          <w:color w:val="000000" w:themeColor="text1"/>
          <w:sz w:val="33"/>
          <w:szCs w:val="33"/>
          <w14:textFill>
            <w14:solidFill>
              <w14:schemeClr w14:val="tx1"/>
            </w14:solidFill>
          </w14:textFill>
        </w:rPr>
      </w:pPr>
      <w:r>
        <w:rPr>
          <w:rFonts w:hint="default" w:ascii="Times New Roman" w:hAnsi="Times New Roman" w:eastAsia="方正仿宋_GBK" w:cs="Times New Roman"/>
          <w:sz w:val="33"/>
          <w:szCs w:val="33"/>
        </w:rPr>
        <w:t>2022年一般公共预算财政拨款基本支出1955.77万元，其中：人员经费1929.23万元</w:t>
      </w:r>
      <w:r>
        <w:rPr>
          <w:rFonts w:hint="default" w:ascii="Times New Roman" w:hAnsi="Times New Roman" w:eastAsia="方正仿宋_GBK" w:cs="Times New Roman"/>
          <w:color w:val="000000" w:themeColor="text1"/>
          <w:sz w:val="33"/>
          <w:szCs w:val="33"/>
          <w14:textFill>
            <w14:solidFill>
              <w14:schemeClr w14:val="tx1"/>
            </w14:solidFill>
          </w14:textFill>
        </w:rPr>
        <w:t>，主要包括：机关事业单位基本养老保险缴费</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908.30万元</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职工基本医疗保险：</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27.04万元、</w:t>
      </w:r>
      <w:r>
        <w:rPr>
          <w:rFonts w:hint="default" w:ascii="Times New Roman" w:hAnsi="Times New Roman" w:eastAsia="方正仿宋_GBK" w:cs="Times New Roman"/>
          <w:color w:val="000000" w:themeColor="text1"/>
          <w:sz w:val="33"/>
          <w:szCs w:val="33"/>
          <w14:textFill>
            <w14:solidFill>
              <w14:schemeClr w14:val="tx1"/>
            </w14:solidFill>
          </w14:textFill>
        </w:rPr>
        <w:t>抚恤金</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54.32万元、</w:t>
      </w:r>
      <w:r>
        <w:rPr>
          <w:rFonts w:hint="default" w:ascii="Times New Roman" w:hAnsi="Times New Roman" w:eastAsia="方正仿宋_GBK" w:cs="Times New Roman"/>
          <w:color w:val="000000" w:themeColor="text1"/>
          <w:sz w:val="33"/>
          <w:szCs w:val="33"/>
          <w14:textFill>
            <w14:solidFill>
              <w14:schemeClr w14:val="tx1"/>
            </w14:solidFill>
          </w14:textFill>
        </w:rPr>
        <w:t>生活补助</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831.85万元、</w:t>
      </w:r>
      <w:r>
        <w:rPr>
          <w:rFonts w:hint="default" w:ascii="Times New Roman" w:hAnsi="Times New Roman" w:eastAsia="方正仿宋_GBK" w:cs="Times New Roman"/>
          <w:color w:val="000000" w:themeColor="text1"/>
          <w:sz w:val="33"/>
          <w:szCs w:val="33"/>
          <w14:textFill>
            <w14:solidFill>
              <w14:schemeClr w14:val="tx1"/>
            </w14:solidFill>
          </w14:textFill>
        </w:rPr>
        <w:t>医疗费补助</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107.72万元、</w:t>
      </w:r>
      <w:r>
        <w:rPr>
          <w:rFonts w:hint="default" w:ascii="Times New Roman" w:hAnsi="Times New Roman" w:eastAsia="方正仿宋_GBK" w:cs="Times New Roman"/>
          <w:color w:val="000000" w:themeColor="text1"/>
          <w:sz w:val="33"/>
          <w:szCs w:val="33"/>
          <w14:textFill>
            <w14:solidFill>
              <w14:schemeClr w14:val="tx1"/>
            </w14:solidFill>
          </w14:textFill>
        </w:rPr>
        <w:t>其他对个人和家庭的补助支出等。</w:t>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仿宋_GBK" w:cs="Times New Roman"/>
          <w:color w:val="000000" w:themeColor="text1"/>
          <w:sz w:val="33"/>
          <w:szCs w:val="33"/>
          <w14:textFill>
            <w14:solidFill>
              <w14:schemeClr w14:val="tx1"/>
            </w14:solidFill>
          </w14:textFill>
        </w:rPr>
        <w:t>公用经费26.54万元，主要包括：办公费</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1.21万元、</w:t>
      </w:r>
      <w:r>
        <w:rPr>
          <w:rFonts w:hint="default" w:ascii="Times New Roman" w:hAnsi="Times New Roman" w:eastAsia="方正仿宋_GBK" w:cs="Times New Roman"/>
          <w:color w:val="000000" w:themeColor="text1"/>
          <w:sz w:val="33"/>
          <w:szCs w:val="33"/>
          <w14:textFill>
            <w14:solidFill>
              <w14:schemeClr w14:val="tx1"/>
            </w14:solidFill>
          </w14:textFill>
        </w:rPr>
        <w:t>专用材料费</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13.90万元、</w:t>
      </w:r>
      <w:r>
        <w:rPr>
          <w:rFonts w:hint="default" w:ascii="Times New Roman" w:hAnsi="Times New Roman" w:eastAsia="方正仿宋_GBK" w:cs="Times New Roman"/>
          <w:color w:val="000000" w:themeColor="text1"/>
          <w:sz w:val="33"/>
          <w:szCs w:val="33"/>
          <w14:textFill>
            <w14:solidFill>
              <w14:schemeClr w14:val="tx1"/>
            </w14:solidFill>
          </w14:textFill>
        </w:rPr>
        <w:t>福利费</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4.40万元</w:t>
      </w:r>
      <w:r>
        <w:rPr>
          <w:rFonts w:hint="default" w:ascii="Times New Roman" w:hAnsi="Times New Roman" w:eastAsia="方正仿宋_GBK" w:cs="Times New Roman"/>
          <w:color w:val="000000" w:themeColor="text1"/>
          <w:sz w:val="33"/>
          <w:szCs w:val="33"/>
          <w14:textFill>
            <w14:solidFill>
              <w14:schemeClr w14:val="tx1"/>
            </w14:solidFill>
          </w14:textFill>
        </w:rPr>
        <w:t>。</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其他商品和服务支出：</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7.03万元。</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15"/>
          <w:rFonts w:hint="default" w:ascii="Times New Roman" w:hAnsi="Times New Roman" w:eastAsia="方正黑体_GBK" w:cs="Times New Roman"/>
          <w:b w:val="0"/>
          <w:sz w:val="33"/>
          <w:szCs w:val="33"/>
        </w:rPr>
      </w:pPr>
      <w:bookmarkStart w:id="50" w:name="_Toc15377215"/>
      <w:bookmarkStart w:id="51" w:name="_Toc15396609"/>
      <w:bookmarkStart w:id="52" w:name="_Toc27799"/>
      <w:r>
        <w:rPr>
          <w:rFonts w:hint="default" w:ascii="Times New Roman" w:hAnsi="Times New Roman" w:eastAsia="方正黑体_GBK" w:cs="Times New Roman"/>
          <w:sz w:val="33"/>
          <w:szCs w:val="33"/>
        </w:rPr>
        <w:t>七、</w:t>
      </w:r>
      <w:r>
        <w:rPr>
          <w:rStyle w:val="15"/>
          <w:rFonts w:hint="default" w:ascii="Times New Roman" w:hAnsi="Times New Roman" w:eastAsia="方正黑体_GBK" w:cs="Times New Roman"/>
          <w:b w:val="0"/>
          <w:sz w:val="33"/>
          <w:szCs w:val="33"/>
        </w:rPr>
        <w:t>财政拨款</w:t>
      </w:r>
      <w:r>
        <w:rPr>
          <w:rStyle w:val="15"/>
          <w:rFonts w:hint="default" w:ascii="Times New Roman" w:hAnsi="Times New Roman" w:eastAsia="方正黑体_GBK" w:cs="Times New Roman"/>
          <w:sz w:val="33"/>
          <w:szCs w:val="33"/>
        </w:rPr>
        <w:t>“</w:t>
      </w:r>
      <w:r>
        <w:rPr>
          <w:rStyle w:val="15"/>
          <w:rFonts w:hint="default" w:ascii="Times New Roman" w:hAnsi="Times New Roman" w:eastAsia="方正黑体_GBK" w:cs="Times New Roman"/>
          <w:b w:val="0"/>
          <w:sz w:val="33"/>
          <w:szCs w:val="33"/>
        </w:rPr>
        <w:t>三公”经费支出决算情况说明</w:t>
      </w:r>
      <w:bookmarkEnd w:id="50"/>
      <w:bookmarkEnd w:id="51"/>
      <w:bookmarkEnd w:id="52"/>
    </w:p>
    <w:p>
      <w:pPr>
        <w:keepNext w:val="0"/>
        <w:keepLines w:val="0"/>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eastAsia="方正楷体_GBK" w:cs="Times New Roman"/>
          <w:b/>
          <w:sz w:val="33"/>
          <w:szCs w:val="33"/>
        </w:rPr>
      </w:pPr>
      <w:bookmarkStart w:id="53" w:name="_Toc15377216"/>
      <w:r>
        <w:rPr>
          <w:rFonts w:hint="default" w:ascii="Times New Roman" w:hAnsi="Times New Roman" w:eastAsia="方正楷体_GBK" w:cs="Times New Roman"/>
          <w:b/>
          <w:sz w:val="33"/>
          <w:szCs w:val="33"/>
        </w:rPr>
        <w:t>（一）“三公”经费财政拨款支出决算总体情况说明</w:t>
      </w:r>
      <w:bookmarkEnd w:id="53"/>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2022年“三公”经费财政拨款支出决算为0万元，完成预算100%。</w:t>
      </w:r>
    </w:p>
    <w:p>
      <w:pPr>
        <w:keepNext w:val="0"/>
        <w:keepLines w:val="0"/>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eastAsia="方正楷体_GBK" w:cs="Times New Roman"/>
          <w:b/>
          <w:sz w:val="33"/>
          <w:szCs w:val="33"/>
        </w:rPr>
      </w:pPr>
      <w:bookmarkStart w:id="54" w:name="_Toc15377217"/>
      <w:r>
        <w:rPr>
          <w:rFonts w:hint="default" w:ascii="Times New Roman" w:hAnsi="Times New Roman" w:eastAsia="方正楷体_GBK" w:cs="Times New Roman"/>
          <w:b/>
          <w:sz w:val="33"/>
          <w:szCs w:val="33"/>
        </w:rPr>
        <w:t>（二）“三公”经费财政拨款支出决算具体情况说明</w:t>
      </w:r>
      <w:bookmarkEnd w:id="54"/>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2022年“三公”经费财政拨款支出决算中，因公出国（境）费支出决算0万元，公务用车购置及运行维护费支出决算0万元，公务接待费支出决算0万元。具体情况如下：</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1.因公出国（境）经费支出0万元</w:t>
      </w:r>
      <w:r>
        <w:rPr>
          <w:rStyle w:val="13"/>
          <w:rFonts w:hint="default" w:ascii="Times New Roman" w:hAnsi="Times New Roman" w:eastAsia="方正仿宋_GBK" w:cs="Times New Roman"/>
          <w:b w:val="0"/>
          <w:bCs/>
          <w:sz w:val="33"/>
          <w:szCs w:val="33"/>
        </w:rPr>
        <w:t>，</w:t>
      </w:r>
      <w:r>
        <w:rPr>
          <w:rStyle w:val="13"/>
          <w:rFonts w:hint="default" w:ascii="Times New Roman" w:hAnsi="Times New Roman" w:eastAsia="方正仿宋_GBK" w:cs="Times New Roman"/>
          <w:b w:val="0"/>
          <w:bCs/>
          <w:color w:val="000000"/>
          <w:sz w:val="33"/>
          <w:szCs w:val="33"/>
        </w:rPr>
        <w:t>完成预算0%。</w:t>
      </w:r>
      <w:r>
        <w:rPr>
          <w:rFonts w:hint="default" w:ascii="Times New Roman" w:hAnsi="Times New Roman" w:eastAsia="方正仿宋_GBK" w:cs="Times New Roman"/>
          <w:bCs/>
          <w:sz w:val="33"/>
          <w:szCs w:val="33"/>
        </w:rPr>
        <w:t>全年安排因公出国（境）团组0次，出国（境）0人。因</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2.公务用车购置及运行维护费支出0万元</w:t>
      </w:r>
      <w:r>
        <w:rPr>
          <w:rStyle w:val="13"/>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Cs/>
          <w:sz w:val="33"/>
          <w:szCs w:val="33"/>
        </w:rPr>
        <w:t>公务用车购置及运行维护费支出决算与2021年持平。</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其中：公务用车购置支出0万元。全年按规定更新购置公务用车0辆，其中：轿车0辆、金额0万元，越野车0辆、金额0万元，载客汽车0辆、金额0万元。截至2022年12月底，单位共有公务用车6辆，其中：轿车1辆、越野车1辆、载客汽车4辆。</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公务用车运行维护费支出0万元。</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3.公务接待费支出0万元</w:t>
      </w:r>
      <w:r>
        <w:rPr>
          <w:rStyle w:val="13"/>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Cs/>
          <w:sz w:val="33"/>
          <w:szCs w:val="33"/>
        </w:rPr>
        <w:t>公务接待费支出决算与2021年持平。其中：</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Cs/>
          <w:sz w:val="33"/>
          <w:szCs w:val="33"/>
        </w:rPr>
      </w:pPr>
      <w:r>
        <w:rPr>
          <w:rFonts w:hint="default" w:ascii="Times New Roman" w:hAnsi="Times New Roman" w:eastAsia="方正仿宋_GBK" w:cs="Times New Roman"/>
          <w:bCs/>
          <w:sz w:val="33"/>
          <w:szCs w:val="33"/>
        </w:rPr>
        <w:t>国内公务接待支出0万元。国内公务接待0批次，0人次（不包括陪同人员），共计支出0万元。</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Cs/>
          <w:sz w:val="33"/>
          <w:szCs w:val="33"/>
        </w:rPr>
        <w:t>外事接待支出0万元。外事接待0批次，0人次（不包括陪</w:t>
      </w:r>
      <w:r>
        <w:rPr>
          <w:rFonts w:hint="default" w:ascii="Times New Roman" w:hAnsi="Times New Roman" w:eastAsia="方正仿宋_GBK" w:cs="Times New Roman"/>
          <w:sz w:val="33"/>
          <w:szCs w:val="33"/>
        </w:rPr>
        <w:t>同人员），共计支出0万元。</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15"/>
          <w:rFonts w:hint="default" w:ascii="Times New Roman" w:hAnsi="Times New Roman" w:eastAsia="方正黑体_GBK" w:cs="Times New Roman"/>
          <w:sz w:val="33"/>
          <w:szCs w:val="33"/>
        </w:rPr>
      </w:pPr>
      <w:bookmarkStart w:id="55" w:name="_Toc27876"/>
      <w:r>
        <w:rPr>
          <w:rFonts w:hint="default" w:ascii="Times New Roman" w:hAnsi="Times New Roman" w:eastAsia="方正黑体_GBK" w:cs="Times New Roman"/>
          <w:sz w:val="33"/>
          <w:szCs w:val="33"/>
        </w:rPr>
        <w:t>八、</w:t>
      </w:r>
      <w:r>
        <w:rPr>
          <w:rStyle w:val="15"/>
          <w:rFonts w:hint="default" w:ascii="Times New Roman" w:hAnsi="Times New Roman" w:eastAsia="方正黑体_GBK" w:cs="Times New Roman"/>
          <w:b w:val="0"/>
          <w:sz w:val="33"/>
          <w:szCs w:val="33"/>
        </w:rPr>
        <w:t>政府性基金预算支出决算情况说明</w:t>
      </w:r>
      <w:bookmarkEnd w:id="55"/>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2022年政府性基金预算财政拨款支出0万元。</w:t>
      </w:r>
    </w:p>
    <w:p>
      <w:pPr>
        <w:keepNext w:val="0"/>
        <w:keepLines w:val="0"/>
        <w:pageBreakBefore w:val="0"/>
        <w:widowControl w:val="0"/>
        <w:numPr>
          <w:ilvl w:val="0"/>
          <w:numId w:val="2"/>
        </w:numPr>
        <w:kinsoku/>
        <w:wordWrap/>
        <w:overflowPunct/>
        <w:topLinePunct w:val="0"/>
        <w:bidi w:val="0"/>
        <w:snapToGrid/>
        <w:spacing w:line="576" w:lineRule="exact"/>
        <w:ind w:firstLine="640"/>
        <w:textAlignment w:val="auto"/>
        <w:outlineLvl w:val="1"/>
        <w:rPr>
          <w:rStyle w:val="15"/>
          <w:rFonts w:hint="default" w:ascii="Times New Roman" w:hAnsi="Times New Roman" w:eastAsia="方正黑体_GBK" w:cs="Times New Roman"/>
          <w:b w:val="0"/>
          <w:sz w:val="33"/>
          <w:szCs w:val="33"/>
        </w:rPr>
      </w:pPr>
      <w:bookmarkStart w:id="56" w:name="_Toc15377219"/>
      <w:bookmarkStart w:id="57" w:name="_Toc15396611"/>
      <w:bookmarkStart w:id="58" w:name="_Toc26581"/>
      <w:r>
        <w:rPr>
          <w:rStyle w:val="15"/>
          <w:rFonts w:hint="default" w:ascii="Times New Roman" w:hAnsi="Times New Roman" w:eastAsia="方正黑体_GBK" w:cs="Times New Roman"/>
          <w:b w:val="0"/>
          <w:sz w:val="33"/>
          <w:szCs w:val="33"/>
        </w:rPr>
        <w:t>国有资本经营预算支出决算情况说明</w:t>
      </w:r>
      <w:bookmarkEnd w:id="56"/>
      <w:bookmarkEnd w:id="57"/>
      <w:bookmarkEnd w:id="58"/>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2022年国有资本经营预算财政拨款支出0万元。</w:t>
      </w:r>
    </w:p>
    <w:p>
      <w:pPr>
        <w:keepNext w:val="0"/>
        <w:keepLines w:val="0"/>
        <w:pageBreakBefore w:val="0"/>
        <w:widowControl w:val="0"/>
        <w:numPr>
          <w:ilvl w:val="0"/>
          <w:numId w:val="2"/>
        </w:numPr>
        <w:kinsoku/>
        <w:wordWrap/>
        <w:overflowPunct/>
        <w:topLinePunct w:val="0"/>
        <w:bidi w:val="0"/>
        <w:snapToGrid/>
        <w:spacing w:line="576" w:lineRule="exact"/>
        <w:ind w:firstLine="640"/>
        <w:textAlignment w:val="auto"/>
        <w:outlineLvl w:val="1"/>
        <w:rPr>
          <w:rStyle w:val="15"/>
          <w:rFonts w:hint="default" w:ascii="Times New Roman" w:hAnsi="Times New Roman" w:eastAsia="方正黑体_GBK" w:cs="Times New Roman"/>
          <w:b w:val="0"/>
          <w:sz w:val="33"/>
          <w:szCs w:val="33"/>
        </w:rPr>
      </w:pPr>
      <w:bookmarkStart w:id="59" w:name="_Toc15396612"/>
      <w:bookmarkStart w:id="60" w:name="_Toc15377221"/>
      <w:bookmarkStart w:id="61" w:name="_Toc4072"/>
      <w:r>
        <w:rPr>
          <w:rStyle w:val="15"/>
          <w:rFonts w:hint="default" w:ascii="Times New Roman" w:hAnsi="Times New Roman" w:eastAsia="方正黑体_GBK" w:cs="Times New Roman"/>
          <w:b w:val="0"/>
          <w:sz w:val="33"/>
          <w:szCs w:val="33"/>
        </w:rPr>
        <w:t>其他重要事项的情况说明</w:t>
      </w:r>
      <w:bookmarkEnd w:id="59"/>
      <w:bookmarkEnd w:id="60"/>
      <w:bookmarkEnd w:id="61"/>
    </w:p>
    <w:p>
      <w:pPr>
        <w:keepNext w:val="0"/>
        <w:keepLines w:val="0"/>
        <w:pageBreakBefore w:val="0"/>
        <w:widowControl w:val="0"/>
        <w:kinsoku/>
        <w:wordWrap/>
        <w:overflowPunct/>
        <w:topLinePunct w:val="0"/>
        <w:bidi w:val="0"/>
        <w:snapToGrid/>
        <w:spacing w:line="576" w:lineRule="exact"/>
        <w:ind w:firstLine="663" w:firstLineChars="200"/>
        <w:textAlignment w:val="auto"/>
        <w:outlineLvl w:val="2"/>
        <w:rPr>
          <w:rFonts w:hint="default" w:ascii="Times New Roman" w:hAnsi="Times New Roman" w:eastAsia="方正楷体_GBK" w:cs="Times New Roman"/>
          <w:sz w:val="33"/>
          <w:szCs w:val="33"/>
        </w:rPr>
      </w:pPr>
      <w:bookmarkStart w:id="62" w:name="_Toc15377222"/>
      <w:r>
        <w:rPr>
          <w:rFonts w:hint="default" w:ascii="Times New Roman" w:hAnsi="Times New Roman" w:eastAsia="方正楷体_GBK" w:cs="Times New Roman"/>
          <w:b/>
          <w:sz w:val="33"/>
          <w:szCs w:val="33"/>
        </w:rPr>
        <w:t>（一）机关运行经费支出情况</w:t>
      </w:r>
      <w:bookmarkEnd w:id="62"/>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2022年，攀枝花市第二人民医院机关运行经费支出0万元，与2021年决算数持平。</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2"/>
        <w:rPr>
          <w:rFonts w:hint="default" w:ascii="Times New Roman" w:hAnsi="Times New Roman" w:eastAsia="方正楷体_GBK" w:cs="Times New Roman"/>
          <w:b/>
          <w:sz w:val="33"/>
          <w:szCs w:val="33"/>
        </w:rPr>
      </w:pPr>
      <w:bookmarkStart w:id="63" w:name="_Toc15377223"/>
      <w:r>
        <w:rPr>
          <w:rFonts w:hint="default" w:ascii="Times New Roman" w:hAnsi="Times New Roman" w:eastAsia="方正楷体_GBK" w:cs="Times New Roman"/>
          <w:b/>
          <w:sz w:val="33"/>
          <w:szCs w:val="33"/>
        </w:rPr>
        <w:t>（二）政府采购支出情况</w:t>
      </w:r>
      <w:bookmarkEnd w:id="63"/>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2022年，攀枝花市第二人民医院政府采购支出总额248.84万元，其中：政府采购货物支出248.84万元、政府采购工程支出0万元、政府采购服务支出0万元。主要用于</w:t>
      </w:r>
      <w:r>
        <w:rPr>
          <w:rFonts w:hint="default" w:ascii="Times New Roman" w:hAnsi="Times New Roman" w:eastAsia="方正仿宋_GBK" w:cs="Times New Roman"/>
          <w:color w:val="000000"/>
          <w:sz w:val="33"/>
          <w:szCs w:val="33"/>
        </w:rPr>
        <w:t>医疗设备和办公设备购置</w:t>
      </w:r>
      <w:r>
        <w:rPr>
          <w:rFonts w:hint="default" w:ascii="Times New Roman" w:hAnsi="Times New Roman" w:eastAsia="方正仿宋_GBK" w:cs="Times New Roman"/>
          <w:sz w:val="33"/>
          <w:szCs w:val="33"/>
        </w:rPr>
        <w:t>。授予中小企业合同金额0万元，其中：授予小微企业合同金额0万元。</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2"/>
        <w:rPr>
          <w:rFonts w:hint="default" w:ascii="Times New Roman" w:hAnsi="Times New Roman" w:eastAsia="方正楷体_GBK" w:cs="Times New Roman"/>
          <w:b/>
          <w:sz w:val="33"/>
          <w:szCs w:val="33"/>
        </w:rPr>
      </w:pPr>
      <w:bookmarkStart w:id="64" w:name="_Toc15377224"/>
      <w:r>
        <w:rPr>
          <w:rFonts w:hint="default" w:ascii="Times New Roman" w:hAnsi="Times New Roman" w:eastAsia="方正楷体_GBK" w:cs="Times New Roman"/>
          <w:b/>
          <w:sz w:val="33"/>
          <w:szCs w:val="33"/>
        </w:rPr>
        <w:t>（三）国有资产占有使用情况</w:t>
      </w:r>
      <w:bookmarkEnd w:id="64"/>
    </w:p>
    <w:p>
      <w:pPr>
        <w:keepNext w:val="0"/>
        <w:keepLines w:val="0"/>
        <w:pageBreakBefore w:val="0"/>
        <w:widowControl w:val="0"/>
        <w:kinsoku/>
        <w:wordWrap/>
        <w:overflowPunct/>
        <w:topLinePunct w:val="0"/>
        <w:autoSpaceDE w:val="0"/>
        <w:autoSpaceDN w:val="0"/>
        <w:bidi w:val="0"/>
        <w:adjustRightInd w:val="0"/>
        <w:snapToGrid/>
        <w:spacing w:line="576" w:lineRule="exact"/>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截至2022年12月31日，攀枝花市第二人民医院共有车辆6辆，其中：主要领导干部用车0辆、机要通信用车0辆、应急保障用车0辆、其他用车6辆，其他用车主要是用于</w:t>
      </w:r>
      <w:r>
        <w:rPr>
          <w:rFonts w:hint="default" w:ascii="Times New Roman" w:hAnsi="Times New Roman" w:eastAsia="方正仿宋_GBK" w:cs="Times New Roman"/>
          <w:color w:val="000000"/>
          <w:sz w:val="33"/>
          <w:szCs w:val="33"/>
        </w:rPr>
        <w:t>医疗救护及公务使用</w:t>
      </w:r>
      <w:r>
        <w:rPr>
          <w:rFonts w:hint="default" w:ascii="Times New Roman" w:hAnsi="Times New Roman" w:eastAsia="方正仿宋_GBK" w:cs="Times New Roman"/>
          <w:sz w:val="33"/>
          <w:szCs w:val="33"/>
        </w:rPr>
        <w:t>。单价100万元以上专用设备20台（套）。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2"/>
        <w:rPr>
          <w:rFonts w:hint="default" w:ascii="Times New Roman" w:hAnsi="Times New Roman" w:eastAsia="方正楷体_GBK" w:cs="Times New Roman"/>
          <w:b/>
          <w:sz w:val="33"/>
          <w:szCs w:val="33"/>
        </w:rPr>
      </w:pPr>
      <w:r>
        <w:rPr>
          <w:rFonts w:hint="default" w:ascii="Times New Roman" w:hAnsi="Times New Roman" w:eastAsia="方正楷体_GBK" w:cs="Times New Roman"/>
          <w:b/>
          <w:sz w:val="33"/>
          <w:szCs w:val="33"/>
        </w:rPr>
        <w:t>（四）预算绩效管理情况</w:t>
      </w:r>
    </w:p>
    <w:p>
      <w:pPr>
        <w:pStyle w:val="2"/>
        <w:keepNext w:val="0"/>
        <w:keepLines w:val="0"/>
        <w:pageBreakBefore w:val="0"/>
        <w:widowControl w:val="0"/>
        <w:kinsoku/>
        <w:wordWrap/>
        <w:overflowPunct/>
        <w:topLinePunct w:val="0"/>
        <w:bidi w:val="0"/>
        <w:snapToGrid/>
        <w:spacing w:beforeLines="0"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2022年度预算编制阶段，组织对公立医院综合改革项目等4个项目开展了预算事前绩效评估，对4个项目编制了绩效目标，预算执行过程中，选取4个项目开展绩效监控，组织对个项目开展绩效自评，绩效自评表详见附件（第四部分）。</w:t>
      </w:r>
    </w:p>
    <w:p>
      <w:pPr>
        <w:pStyle w:val="2"/>
        <w:spacing w:before="93"/>
        <w:rPr>
          <w:rFonts w:hint="default" w:ascii="Times New Roman" w:hAnsi="Times New Roman" w:cs="Times New Roman"/>
          <w:sz w:val="32"/>
          <w:szCs w:val="32"/>
        </w:rPr>
      </w:pPr>
    </w:p>
    <w:p>
      <w:pPr>
        <w:numPr>
          <w:ilvl w:val="0"/>
          <w:numId w:val="0"/>
        </w:numPr>
        <w:spacing w:line="600" w:lineRule="exact"/>
        <w:jc w:val="center"/>
        <w:outlineLvl w:val="0"/>
        <w:rPr>
          <w:rStyle w:val="14"/>
          <w:rFonts w:hint="default" w:ascii="Times New Roman" w:hAnsi="Times New Roman" w:eastAsia="方正小标宋_GBK" w:cs="Times New Roman"/>
          <w:b w:val="0"/>
          <w:sz w:val="38"/>
          <w:szCs w:val="38"/>
        </w:rPr>
      </w:pPr>
      <w:bookmarkStart w:id="65" w:name="_Toc15377225"/>
      <w:bookmarkStart w:id="66" w:name="_Toc15396613"/>
      <w:bookmarkStart w:id="67" w:name="_Toc26538"/>
      <w:r>
        <w:rPr>
          <w:rFonts w:hint="default" w:ascii="Times New Roman" w:hAnsi="Times New Roman" w:eastAsia="方正小标宋_GBK" w:cs="Times New Roman"/>
          <w:sz w:val="38"/>
          <w:szCs w:val="38"/>
          <w:lang w:eastAsia="zh-CN"/>
        </w:rPr>
        <w:t>第三部分</w:t>
      </w:r>
      <w:r>
        <w:rPr>
          <w:rFonts w:hint="default" w:ascii="Times New Roman" w:hAnsi="Times New Roman" w:eastAsia="方正小标宋_GBK" w:cs="Times New Roman"/>
          <w:sz w:val="38"/>
          <w:szCs w:val="38"/>
          <w:lang w:val="en-US" w:eastAsia="zh-CN"/>
        </w:rPr>
        <w:t xml:space="preserve">  </w:t>
      </w:r>
      <w:r>
        <w:rPr>
          <w:rFonts w:hint="default" w:ascii="Times New Roman" w:hAnsi="Times New Roman" w:eastAsia="方正小标宋_GBK" w:cs="Times New Roman"/>
          <w:sz w:val="38"/>
          <w:szCs w:val="38"/>
        </w:rPr>
        <w:t>名</w:t>
      </w:r>
      <w:r>
        <w:rPr>
          <w:rStyle w:val="14"/>
          <w:rFonts w:hint="default" w:ascii="Times New Roman" w:hAnsi="Times New Roman" w:eastAsia="方正小标宋_GBK" w:cs="Times New Roman"/>
          <w:b w:val="0"/>
          <w:sz w:val="38"/>
          <w:szCs w:val="38"/>
        </w:rPr>
        <w:t>词解释</w:t>
      </w:r>
      <w:bookmarkEnd w:id="65"/>
      <w:bookmarkEnd w:id="66"/>
      <w:bookmarkEnd w:id="67"/>
    </w:p>
    <w:p>
      <w:pPr>
        <w:spacing w:line="600" w:lineRule="exact"/>
        <w:jc w:val="left"/>
        <w:rPr>
          <w:rFonts w:hint="default" w:ascii="Times New Roman" w:hAnsi="Times New Roman" w:cs="Times New Roman"/>
          <w:b/>
          <w:sz w:val="44"/>
          <w:szCs w:val="44"/>
        </w:rPr>
      </w:pP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1.财政拨款收入：指单位从同级财政部门取得的财政预算资金。</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2.事业收入：指事业单位开展专业业务活动及辅助活动取得的收入。如医疗收入等。</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xml:space="preserve">3.其他收入：指单位取得的除上述收入以外的各项收入。主要是利息收入、康养收入等。 </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xml:space="preserve">4.使用非财政拨款结余：指事业单位使用以前年度积累的非财政拨款结余弥补当年收支差额的金额。 </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 xml:space="preserve">5.年初结转和结余：指以前年度尚未完成、结转到本年按有关规定继续使用的资金。 </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6.结余分配：指事业单位按照会计制度规定缴纳的所得税、提取的专用结余以及转入非财政拨款结余的金额等。</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7.年末结转和结余：指单位按有关规定结转到下年或以后年度继续使用的资金。</w:t>
      </w:r>
    </w:p>
    <w:p>
      <w:pPr>
        <w:keepNext w:val="0"/>
        <w:keepLines w:val="0"/>
        <w:pageBreakBefore w:val="0"/>
        <w:widowControl/>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sz w:val="33"/>
          <w:szCs w:val="33"/>
        </w:rPr>
        <w:t>8.一般公共服务（类）</w:t>
      </w:r>
      <w:r>
        <w:rPr>
          <w:rFonts w:hint="default" w:ascii="Times New Roman" w:hAnsi="Times New Roman" w:eastAsia="方正仿宋_GBK" w:cs="Times New Roman"/>
          <w:color w:val="000000"/>
          <w:kern w:val="0"/>
          <w:sz w:val="33"/>
          <w:szCs w:val="33"/>
        </w:rPr>
        <w:t>政府办公厅（室）及相关机构事务</w:t>
      </w:r>
      <w:r>
        <w:rPr>
          <w:rFonts w:hint="default" w:ascii="Times New Roman" w:hAnsi="Times New Roman" w:eastAsia="方正仿宋_GBK" w:cs="Times New Roman"/>
          <w:sz w:val="33"/>
          <w:szCs w:val="33"/>
        </w:rPr>
        <w:t>（款）</w:t>
      </w:r>
      <w:r>
        <w:rPr>
          <w:rFonts w:hint="default" w:ascii="Times New Roman" w:hAnsi="Times New Roman" w:eastAsia="方正仿宋_GBK" w:cs="Times New Roman"/>
          <w:color w:val="000000"/>
          <w:kern w:val="0"/>
          <w:sz w:val="33"/>
          <w:szCs w:val="33"/>
        </w:rPr>
        <w:t xml:space="preserve">  信访事务</w:t>
      </w:r>
      <w:r>
        <w:rPr>
          <w:rFonts w:hint="default" w:ascii="Times New Roman" w:hAnsi="Times New Roman" w:eastAsia="方正仿宋_GBK" w:cs="Times New Roman"/>
          <w:sz w:val="33"/>
          <w:szCs w:val="33"/>
        </w:rPr>
        <w:t>（项）：指其他用于中国共产党组织部门的事务支出。</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9.</w:t>
      </w:r>
      <w:r>
        <w:rPr>
          <w:rFonts w:hint="default" w:ascii="Times New Roman" w:hAnsi="Times New Roman" w:eastAsia="方正仿宋_GBK" w:cs="Times New Roman"/>
          <w:color w:val="auto"/>
          <w:sz w:val="33"/>
          <w:szCs w:val="33"/>
        </w:rPr>
        <w:t>社会保障和就业（类）行政事业单位养老支出（款）事业单位离退休（项）: 指实行归口管理的事业单位开支的离退休经费。</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sz w:val="33"/>
          <w:szCs w:val="33"/>
        </w:rPr>
        <w:t>10.</w:t>
      </w:r>
      <w:r>
        <w:rPr>
          <w:rFonts w:hint="default" w:ascii="Times New Roman" w:hAnsi="Times New Roman" w:eastAsia="方正仿宋_GBK" w:cs="Times New Roman"/>
          <w:color w:val="auto"/>
          <w:sz w:val="33"/>
          <w:szCs w:val="33"/>
        </w:rPr>
        <w:t>社会保障和就业（类）行政事业单位养老支出（款）机关事业单位基本养老保险缴费支出（项）:指机关事业单位实施养老保险制度由单位缴纳的基本养老保险费支出</w:t>
      </w:r>
      <w:r>
        <w:rPr>
          <w:rFonts w:hint="default" w:ascii="Times New Roman" w:hAnsi="Times New Roman" w:eastAsia="方正仿宋_GBK" w:cs="Times New Roman"/>
          <w:color w:val="auto"/>
          <w:sz w:val="33"/>
          <w:szCs w:val="33"/>
          <w:lang w:eastAsia="zh-CN"/>
        </w:rPr>
        <w:t>。</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11.</w:t>
      </w:r>
      <w:r>
        <w:rPr>
          <w:rFonts w:hint="default" w:ascii="Times New Roman" w:hAnsi="Times New Roman" w:eastAsia="方正仿宋_GBK" w:cs="Times New Roman"/>
          <w:color w:val="auto"/>
          <w:sz w:val="33"/>
          <w:szCs w:val="33"/>
        </w:rPr>
        <w:t>社会保障和就业（类）抚恤（款）死亡抚恤（项）:指按规定用于烈士和牺牲、病故人员家属的一次性和定期抚恤金以及丧葬补助费。</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 xml:space="preserve">12. </w:t>
      </w:r>
      <w:r>
        <w:rPr>
          <w:rFonts w:hint="default" w:ascii="Times New Roman" w:hAnsi="Times New Roman" w:eastAsia="方正仿宋_GBK" w:cs="Times New Roman"/>
          <w:color w:val="auto"/>
          <w:sz w:val="33"/>
          <w:szCs w:val="33"/>
        </w:rPr>
        <w:t>卫生健康（类）公立医院（款）综合医院（项）:指卫生健康、中医部门所属的城市综合性医院、独立门诊、教学医院、疗养院和县医院的支出。</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13.</w:t>
      </w:r>
      <w:r>
        <w:rPr>
          <w:rFonts w:hint="default" w:ascii="Times New Roman" w:hAnsi="Times New Roman" w:eastAsia="方正仿宋_GBK" w:cs="Times New Roman"/>
          <w:color w:val="auto"/>
          <w:sz w:val="33"/>
          <w:szCs w:val="33"/>
        </w:rPr>
        <w:t>卫生健康（类）公共卫生（款）基本公共卫生服务（项）:指基本公共卫生服务支出。</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14.</w:t>
      </w:r>
      <w:r>
        <w:rPr>
          <w:rFonts w:hint="default" w:ascii="Times New Roman" w:hAnsi="Times New Roman" w:eastAsia="方正仿宋_GBK" w:cs="Times New Roman"/>
          <w:color w:val="auto"/>
          <w:sz w:val="33"/>
          <w:szCs w:val="33"/>
        </w:rPr>
        <w:t>卫生健康（类）公共卫生（款）重大公共卫生服务（项）:指重大疾病预防控制等重大公共卫生服务项目支出。</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FF0000"/>
          <w:sz w:val="33"/>
          <w:szCs w:val="33"/>
        </w:rPr>
      </w:pPr>
      <w:r>
        <w:rPr>
          <w:rFonts w:hint="default" w:ascii="Times New Roman" w:hAnsi="Times New Roman" w:eastAsia="方正仿宋_GBK" w:cs="Times New Roman"/>
          <w:sz w:val="33"/>
          <w:szCs w:val="33"/>
        </w:rPr>
        <w:t>15.</w:t>
      </w:r>
      <w:r>
        <w:rPr>
          <w:rFonts w:hint="default" w:ascii="Times New Roman" w:hAnsi="Times New Roman" w:eastAsia="方正仿宋_GBK" w:cs="Times New Roman"/>
          <w:color w:val="auto"/>
          <w:sz w:val="33"/>
          <w:szCs w:val="33"/>
        </w:rPr>
        <w:t>卫生健康（类）其他卫生健康支出（款）其他卫生健康支出（项）:指其他用于卫生健康方面的支出。</w:t>
      </w:r>
    </w:p>
    <w:p>
      <w:pPr>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16.基本支出：指为保障机构正常运转、完成日常工作任务而发生的人员支出和公用支出。</w:t>
      </w:r>
    </w:p>
    <w:p>
      <w:pPr>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17.项目支出：指在基本支出之外为完成特定行政任务和事业发展目标所发生的支出。 </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 xml:space="preserve">18. </w:t>
      </w:r>
      <w:r>
        <w:rPr>
          <w:rFonts w:hint="default" w:ascii="Times New Roman" w:hAnsi="Times New Roman" w:eastAsia="方正仿宋_GBK" w:cs="Times New Roman"/>
          <w:color w:val="auto"/>
          <w:sz w:val="33"/>
          <w:szCs w:val="33"/>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keepNext w:val="0"/>
        <w:keepLines w:val="0"/>
        <w:pageBreakBefore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sz w:val="33"/>
          <w:szCs w:val="33"/>
        </w:rPr>
        <w:t>19.</w:t>
      </w:r>
      <w:r>
        <w:rPr>
          <w:rFonts w:hint="default" w:ascii="Times New Roman" w:hAnsi="Times New Roman" w:eastAsia="方正仿宋_GBK" w:cs="Times New Roman"/>
          <w:color w:val="auto"/>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7"/>
        <w:spacing w:line="560" w:lineRule="exact"/>
        <w:ind w:firstLine="600" w:firstLineChars="200"/>
        <w:rPr>
          <w:rFonts w:hint="default" w:ascii="Times New Roman" w:hAnsi="Times New Roman" w:eastAsia="宋体" w:cs="Times New Roman"/>
          <w:color w:val="auto"/>
          <w:sz w:val="30"/>
          <w:szCs w:val="30"/>
        </w:rPr>
      </w:pPr>
    </w:p>
    <w:p>
      <w:pPr>
        <w:spacing w:line="600" w:lineRule="exact"/>
        <w:jc w:val="center"/>
        <w:outlineLvl w:val="0"/>
        <w:rPr>
          <w:rFonts w:hint="default" w:ascii="Times New Roman" w:hAnsi="Times New Roman" w:eastAsia="仿宋_GB2312" w:cs="Times New Roman"/>
          <w:sz w:val="32"/>
          <w:szCs w:val="32"/>
        </w:rPr>
      </w:pPr>
      <w:bookmarkStart w:id="68" w:name="_Toc15377226"/>
      <w:r>
        <w:rPr>
          <w:rFonts w:hint="default" w:ascii="Times New Roman" w:hAnsi="Times New Roman" w:cs="Times New Roman"/>
          <w:b/>
          <w:sz w:val="44"/>
          <w:szCs w:val="44"/>
        </w:rPr>
        <w:br w:type="page"/>
      </w:r>
      <w:bookmarkStart w:id="69" w:name="_Toc15396614"/>
      <w:bookmarkStart w:id="70" w:name="_Toc24673"/>
      <w:r>
        <w:rPr>
          <w:rFonts w:hint="default" w:ascii="Times New Roman" w:hAnsi="Times New Roman" w:eastAsia="方正小标宋_GBK" w:cs="Times New Roman"/>
          <w:sz w:val="38"/>
          <w:szCs w:val="38"/>
        </w:rPr>
        <w:t>第</w:t>
      </w:r>
      <w:r>
        <w:rPr>
          <w:rStyle w:val="14"/>
          <w:rFonts w:hint="default" w:ascii="Times New Roman" w:hAnsi="Times New Roman" w:eastAsia="方正小标宋_GBK" w:cs="Times New Roman"/>
          <w:b w:val="0"/>
          <w:sz w:val="38"/>
          <w:szCs w:val="38"/>
        </w:rPr>
        <w:t>四部分 附件</w:t>
      </w:r>
      <w:bookmarkEnd w:id="69"/>
      <w:bookmarkEnd w:id="70"/>
    </w:p>
    <w:p>
      <w:pPr>
        <w:spacing w:line="600" w:lineRule="exact"/>
        <w:jc w:val="center"/>
        <w:outlineLvl w:val="0"/>
        <w:rPr>
          <w:rFonts w:hint="default" w:ascii="Times New Roman" w:hAnsi="Times New Roman" w:cs="Times New Roman"/>
          <w:kern w:val="0"/>
          <w:sz w:val="30"/>
          <w:szCs w:val="30"/>
        </w:rPr>
      </w:pPr>
      <w:bookmarkStart w:id="71" w:name="_Toc15396618"/>
    </w:p>
    <w:p>
      <w:pPr>
        <w:spacing w:line="600" w:lineRule="exact"/>
        <w:jc w:val="center"/>
        <w:outlineLvl w:val="0"/>
        <w:rPr>
          <w:rFonts w:hint="default" w:ascii="Times New Roman" w:hAnsi="Times New Roman" w:eastAsia="方正仿宋_GBK" w:cs="Times New Roman"/>
          <w:kern w:val="0"/>
          <w:sz w:val="33"/>
          <w:szCs w:val="33"/>
        </w:rPr>
      </w:pPr>
      <w:bookmarkStart w:id="72" w:name="_Toc26226"/>
      <w:r>
        <w:rPr>
          <w:rFonts w:hint="default" w:ascii="Times New Roman" w:hAnsi="Times New Roman" w:eastAsia="方正仿宋_GBK" w:cs="Times New Roman"/>
          <w:kern w:val="0"/>
          <w:sz w:val="33"/>
          <w:szCs w:val="33"/>
        </w:rPr>
        <w:t>部门预算项目支出绩效自评表（2022年度）此表见附件</w:t>
      </w:r>
      <w:bookmarkEnd w:id="72"/>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spacing w:line="600" w:lineRule="exact"/>
        <w:jc w:val="both"/>
        <w:outlineLvl w:val="0"/>
        <w:rPr>
          <w:rFonts w:hint="default" w:ascii="Times New Roman" w:hAnsi="Times New Roman" w:eastAsia="黑体" w:cs="Times New Roman"/>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sz w:val="38"/>
          <w:szCs w:val="38"/>
        </w:rPr>
      </w:pPr>
      <w:bookmarkStart w:id="73" w:name="_Toc29457"/>
    </w:p>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sz w:val="38"/>
          <w:szCs w:val="38"/>
        </w:rPr>
      </w:pPr>
      <w:r>
        <w:rPr>
          <w:rFonts w:hint="default" w:ascii="Times New Roman" w:hAnsi="Times New Roman" w:eastAsia="方正小标宋_GBK" w:cs="Times New Roman"/>
          <w:sz w:val="38"/>
          <w:szCs w:val="38"/>
        </w:rPr>
        <w:t>第</w:t>
      </w:r>
      <w:r>
        <w:rPr>
          <w:rStyle w:val="14"/>
          <w:rFonts w:hint="default" w:ascii="Times New Roman" w:hAnsi="Times New Roman" w:eastAsia="方正小标宋_GBK" w:cs="Times New Roman"/>
          <w:b w:val="0"/>
          <w:sz w:val="38"/>
          <w:szCs w:val="38"/>
        </w:rPr>
        <w:t>五部分 附表</w:t>
      </w:r>
      <w:bookmarkEnd w:id="68"/>
      <w:bookmarkEnd w:id="71"/>
      <w:bookmarkEnd w:id="73"/>
      <w:bookmarkStart w:id="74" w:name="_Toc15396619"/>
    </w:p>
    <w:p>
      <w:pPr>
        <w:pStyle w:val="4"/>
        <w:keepNext/>
        <w:keepLines/>
        <w:pageBreakBefore w:val="0"/>
        <w:widowControl w:val="0"/>
        <w:kinsoku/>
        <w:wordWrap/>
        <w:overflowPunct/>
        <w:topLinePunct w:val="0"/>
        <w:autoSpaceDE/>
        <w:autoSpaceDN/>
        <w:bidi w:val="0"/>
        <w:adjustRightInd/>
        <w:snapToGrid/>
        <w:spacing w:before="0" w:after="0" w:line="560" w:lineRule="exact"/>
        <w:ind w:firstLine="660" w:firstLineChars="200"/>
        <w:textAlignment w:val="auto"/>
        <w:rPr>
          <w:rFonts w:hint="default" w:ascii="Times New Roman" w:hAnsi="Times New Roman" w:eastAsia="方正仿宋_GBK" w:cs="Times New Roman"/>
          <w:b w:val="0"/>
          <w:sz w:val="33"/>
          <w:szCs w:val="33"/>
        </w:rPr>
      </w:pPr>
      <w:bookmarkStart w:id="75" w:name="_Toc25200"/>
    </w:p>
    <w:p>
      <w:pPr>
        <w:pStyle w:val="4"/>
        <w:keepNext/>
        <w:keepLines/>
        <w:pageBreakBefore w:val="0"/>
        <w:widowControl w:val="0"/>
        <w:kinsoku/>
        <w:wordWrap/>
        <w:overflowPunct/>
        <w:topLinePunct w:val="0"/>
        <w:autoSpaceDE/>
        <w:autoSpaceDN/>
        <w:bidi w:val="0"/>
        <w:adjustRightInd/>
        <w:snapToGrid/>
        <w:spacing w:before="0" w:after="0" w:line="560" w:lineRule="exact"/>
        <w:ind w:firstLine="660" w:firstLineChars="200"/>
        <w:textAlignment w:val="auto"/>
        <w:rPr>
          <w:rFonts w:hint="default" w:ascii="Times New Roman" w:hAnsi="Times New Roman" w:eastAsia="方正仿宋_GBK" w:cs="Times New Roman"/>
          <w:sz w:val="33"/>
          <w:szCs w:val="33"/>
        </w:rPr>
      </w:pPr>
      <w:bookmarkStart w:id="100" w:name="_GoBack"/>
      <w:bookmarkEnd w:id="100"/>
      <w:r>
        <w:rPr>
          <w:rFonts w:hint="default" w:ascii="Times New Roman" w:hAnsi="Times New Roman" w:eastAsia="方正仿宋_GBK" w:cs="Times New Roman"/>
          <w:b w:val="0"/>
          <w:sz w:val="33"/>
          <w:szCs w:val="33"/>
        </w:rPr>
        <w:t>一、收</w:t>
      </w:r>
      <w:r>
        <w:rPr>
          <w:rStyle w:val="15"/>
          <w:rFonts w:hint="default" w:ascii="Times New Roman" w:hAnsi="Times New Roman" w:eastAsia="方正仿宋_GBK" w:cs="Times New Roman"/>
          <w:b w:val="0"/>
          <w:bCs w:val="0"/>
          <w:sz w:val="33"/>
          <w:szCs w:val="33"/>
        </w:rPr>
        <w:t>入支出决算总表</w:t>
      </w:r>
      <w:bookmarkEnd w:id="74"/>
      <w:bookmarkEnd w:id="75"/>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76" w:name="_Toc15396620"/>
      <w:bookmarkStart w:id="77" w:name="_Toc16267"/>
      <w:r>
        <w:rPr>
          <w:rFonts w:hint="default" w:ascii="Times New Roman" w:hAnsi="Times New Roman" w:eastAsia="方正仿宋_GBK" w:cs="Times New Roman"/>
          <w:b w:val="0"/>
          <w:sz w:val="33"/>
          <w:szCs w:val="33"/>
        </w:rPr>
        <w:t>二、收</w:t>
      </w:r>
      <w:r>
        <w:rPr>
          <w:rStyle w:val="15"/>
          <w:rFonts w:hint="default" w:ascii="Times New Roman" w:hAnsi="Times New Roman" w:eastAsia="方正仿宋_GBK" w:cs="Times New Roman"/>
          <w:b w:val="0"/>
          <w:bCs w:val="0"/>
          <w:sz w:val="33"/>
          <w:szCs w:val="33"/>
        </w:rPr>
        <w:t>入决算表</w:t>
      </w:r>
      <w:bookmarkEnd w:id="76"/>
      <w:bookmarkEnd w:id="77"/>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78" w:name="_Toc15396621"/>
      <w:bookmarkStart w:id="79" w:name="_Toc9672"/>
      <w:r>
        <w:rPr>
          <w:rStyle w:val="15"/>
          <w:rFonts w:hint="default" w:ascii="Times New Roman" w:hAnsi="Times New Roman" w:eastAsia="方正仿宋_GBK" w:cs="Times New Roman"/>
          <w:b w:val="0"/>
          <w:bCs w:val="0"/>
          <w:sz w:val="33"/>
          <w:szCs w:val="33"/>
        </w:rPr>
        <w:t>三、</w:t>
      </w:r>
      <w:r>
        <w:rPr>
          <w:rFonts w:hint="default" w:ascii="Times New Roman" w:hAnsi="Times New Roman" w:eastAsia="方正仿宋_GBK" w:cs="Times New Roman"/>
          <w:b w:val="0"/>
          <w:sz w:val="33"/>
          <w:szCs w:val="33"/>
        </w:rPr>
        <w:t>支</w:t>
      </w:r>
      <w:r>
        <w:rPr>
          <w:rStyle w:val="15"/>
          <w:rFonts w:hint="default" w:ascii="Times New Roman" w:hAnsi="Times New Roman" w:eastAsia="方正仿宋_GBK" w:cs="Times New Roman"/>
          <w:b w:val="0"/>
          <w:bCs w:val="0"/>
          <w:sz w:val="33"/>
          <w:szCs w:val="33"/>
        </w:rPr>
        <w:t>出决算表</w:t>
      </w:r>
      <w:bookmarkEnd w:id="78"/>
      <w:bookmarkEnd w:id="79"/>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b w:val="0"/>
          <w:sz w:val="33"/>
          <w:szCs w:val="33"/>
        </w:rPr>
      </w:pPr>
      <w:bookmarkStart w:id="80" w:name="_Toc15396622"/>
      <w:bookmarkStart w:id="81" w:name="_Toc15575"/>
      <w:r>
        <w:rPr>
          <w:rStyle w:val="15"/>
          <w:rFonts w:hint="default" w:ascii="Times New Roman" w:hAnsi="Times New Roman" w:eastAsia="方正仿宋_GBK" w:cs="Times New Roman"/>
          <w:b w:val="0"/>
          <w:bCs w:val="0"/>
          <w:sz w:val="33"/>
          <w:szCs w:val="33"/>
        </w:rPr>
        <w:t>四、</w:t>
      </w:r>
      <w:r>
        <w:rPr>
          <w:rFonts w:hint="default" w:ascii="Times New Roman" w:hAnsi="Times New Roman" w:eastAsia="方正仿宋_GBK" w:cs="Times New Roman"/>
          <w:b w:val="0"/>
          <w:sz w:val="33"/>
          <w:szCs w:val="33"/>
        </w:rPr>
        <w:t>财</w:t>
      </w:r>
      <w:r>
        <w:rPr>
          <w:rStyle w:val="15"/>
          <w:rFonts w:hint="default" w:ascii="Times New Roman" w:hAnsi="Times New Roman" w:eastAsia="方正仿宋_GBK" w:cs="Times New Roman"/>
          <w:b w:val="0"/>
          <w:bCs w:val="0"/>
          <w:sz w:val="33"/>
          <w:szCs w:val="33"/>
        </w:rPr>
        <w:t>政拨款收入支出决算总表</w:t>
      </w:r>
      <w:bookmarkEnd w:id="80"/>
      <w:bookmarkEnd w:id="81"/>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Style w:val="15"/>
          <w:rFonts w:hint="default" w:ascii="Times New Roman" w:hAnsi="Times New Roman" w:eastAsia="方正仿宋_GBK" w:cs="Times New Roman"/>
          <w:b w:val="0"/>
          <w:bCs w:val="0"/>
          <w:sz w:val="33"/>
          <w:szCs w:val="33"/>
        </w:rPr>
      </w:pPr>
      <w:bookmarkStart w:id="82" w:name="_Toc15396623"/>
      <w:bookmarkStart w:id="83" w:name="_Toc4870"/>
      <w:r>
        <w:rPr>
          <w:rStyle w:val="15"/>
          <w:rFonts w:hint="default" w:ascii="Times New Roman" w:hAnsi="Times New Roman" w:eastAsia="方正仿宋_GBK" w:cs="Times New Roman"/>
          <w:b w:val="0"/>
          <w:bCs w:val="0"/>
          <w:sz w:val="33"/>
          <w:szCs w:val="33"/>
        </w:rPr>
        <w:t>五、</w:t>
      </w:r>
      <w:r>
        <w:rPr>
          <w:rFonts w:hint="default" w:ascii="Times New Roman" w:hAnsi="Times New Roman" w:eastAsia="方正仿宋_GBK" w:cs="Times New Roman"/>
          <w:b w:val="0"/>
          <w:sz w:val="33"/>
          <w:szCs w:val="33"/>
        </w:rPr>
        <w:t>财</w:t>
      </w:r>
      <w:r>
        <w:rPr>
          <w:rStyle w:val="15"/>
          <w:rFonts w:hint="default" w:ascii="Times New Roman" w:hAnsi="Times New Roman" w:eastAsia="方正仿宋_GBK" w:cs="Times New Roman"/>
          <w:b w:val="0"/>
          <w:bCs w:val="0"/>
          <w:sz w:val="33"/>
          <w:szCs w:val="33"/>
        </w:rPr>
        <w:t>政拨款支出决算明细表</w:t>
      </w:r>
      <w:bookmarkEnd w:id="82"/>
      <w:bookmarkEnd w:id="83"/>
      <w:bookmarkStart w:id="84" w:name="_Toc15396624"/>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85" w:name="_Toc5204"/>
      <w:r>
        <w:rPr>
          <w:rStyle w:val="15"/>
          <w:rFonts w:hint="default" w:ascii="Times New Roman" w:hAnsi="Times New Roman" w:eastAsia="方正仿宋_GBK" w:cs="Times New Roman"/>
          <w:b w:val="0"/>
          <w:bCs w:val="0"/>
          <w:sz w:val="33"/>
          <w:szCs w:val="33"/>
        </w:rPr>
        <w:t>六、</w:t>
      </w:r>
      <w:r>
        <w:rPr>
          <w:rFonts w:hint="default" w:ascii="Times New Roman" w:hAnsi="Times New Roman" w:eastAsia="方正仿宋_GBK" w:cs="Times New Roman"/>
          <w:b w:val="0"/>
          <w:sz w:val="33"/>
          <w:szCs w:val="33"/>
        </w:rPr>
        <w:t>一</w:t>
      </w:r>
      <w:r>
        <w:rPr>
          <w:rStyle w:val="15"/>
          <w:rFonts w:hint="default" w:ascii="Times New Roman" w:hAnsi="Times New Roman" w:eastAsia="方正仿宋_GBK" w:cs="Times New Roman"/>
          <w:b w:val="0"/>
          <w:bCs w:val="0"/>
          <w:sz w:val="33"/>
          <w:szCs w:val="33"/>
        </w:rPr>
        <w:t>般公共预算财政拨款支出决算表</w:t>
      </w:r>
      <w:bookmarkEnd w:id="84"/>
      <w:bookmarkEnd w:id="85"/>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86" w:name="_Toc15396625"/>
      <w:bookmarkStart w:id="87" w:name="_Toc17165"/>
      <w:r>
        <w:rPr>
          <w:rStyle w:val="15"/>
          <w:rFonts w:hint="default" w:ascii="Times New Roman" w:hAnsi="Times New Roman" w:eastAsia="方正仿宋_GBK" w:cs="Times New Roman"/>
          <w:b w:val="0"/>
          <w:bCs w:val="0"/>
          <w:sz w:val="33"/>
          <w:szCs w:val="33"/>
        </w:rPr>
        <w:t>七、</w:t>
      </w:r>
      <w:r>
        <w:rPr>
          <w:rFonts w:hint="default" w:ascii="Times New Roman" w:hAnsi="Times New Roman" w:eastAsia="方正仿宋_GBK" w:cs="Times New Roman"/>
          <w:b w:val="0"/>
          <w:sz w:val="33"/>
          <w:szCs w:val="33"/>
        </w:rPr>
        <w:t>一</w:t>
      </w:r>
      <w:r>
        <w:rPr>
          <w:rStyle w:val="15"/>
          <w:rFonts w:hint="default" w:ascii="Times New Roman" w:hAnsi="Times New Roman" w:eastAsia="方正仿宋_GBK" w:cs="Times New Roman"/>
          <w:b w:val="0"/>
          <w:bCs w:val="0"/>
          <w:sz w:val="33"/>
          <w:szCs w:val="33"/>
        </w:rPr>
        <w:t>般公共预算财政拨款支出决算明细表</w:t>
      </w:r>
      <w:bookmarkEnd w:id="86"/>
      <w:bookmarkEnd w:id="87"/>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88" w:name="_Toc15396626"/>
      <w:bookmarkStart w:id="89" w:name="_Toc9321"/>
      <w:r>
        <w:rPr>
          <w:rStyle w:val="15"/>
          <w:rFonts w:hint="default" w:ascii="Times New Roman" w:hAnsi="Times New Roman" w:eastAsia="方正仿宋_GBK" w:cs="Times New Roman"/>
          <w:b w:val="0"/>
          <w:bCs w:val="0"/>
          <w:sz w:val="33"/>
          <w:szCs w:val="33"/>
        </w:rPr>
        <w:t>八、</w:t>
      </w:r>
      <w:r>
        <w:rPr>
          <w:rFonts w:hint="default" w:ascii="Times New Roman" w:hAnsi="Times New Roman" w:eastAsia="方正仿宋_GBK" w:cs="Times New Roman"/>
          <w:b w:val="0"/>
          <w:sz w:val="33"/>
          <w:szCs w:val="33"/>
        </w:rPr>
        <w:t>一</w:t>
      </w:r>
      <w:r>
        <w:rPr>
          <w:rStyle w:val="15"/>
          <w:rFonts w:hint="default" w:ascii="Times New Roman" w:hAnsi="Times New Roman" w:eastAsia="方正仿宋_GBK" w:cs="Times New Roman"/>
          <w:b w:val="0"/>
          <w:bCs w:val="0"/>
          <w:sz w:val="33"/>
          <w:szCs w:val="33"/>
        </w:rPr>
        <w:t>般公共预算财政拨款基本支出决算表</w:t>
      </w:r>
      <w:bookmarkEnd w:id="88"/>
      <w:bookmarkEnd w:id="89"/>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90" w:name="_Toc15396627"/>
      <w:bookmarkStart w:id="91" w:name="_Toc26478"/>
      <w:r>
        <w:rPr>
          <w:rStyle w:val="15"/>
          <w:rFonts w:hint="default" w:ascii="Times New Roman" w:hAnsi="Times New Roman" w:eastAsia="方正仿宋_GBK" w:cs="Times New Roman"/>
          <w:b w:val="0"/>
          <w:bCs w:val="0"/>
          <w:sz w:val="33"/>
          <w:szCs w:val="33"/>
        </w:rPr>
        <w:t>九、</w:t>
      </w:r>
      <w:r>
        <w:rPr>
          <w:rFonts w:hint="default" w:ascii="Times New Roman" w:hAnsi="Times New Roman" w:eastAsia="方正仿宋_GBK" w:cs="Times New Roman"/>
          <w:b w:val="0"/>
          <w:sz w:val="33"/>
          <w:szCs w:val="33"/>
        </w:rPr>
        <w:t>一</w:t>
      </w:r>
      <w:r>
        <w:rPr>
          <w:rStyle w:val="15"/>
          <w:rFonts w:hint="default" w:ascii="Times New Roman" w:hAnsi="Times New Roman" w:eastAsia="方正仿宋_GBK" w:cs="Times New Roman"/>
          <w:b w:val="0"/>
          <w:bCs w:val="0"/>
          <w:sz w:val="33"/>
          <w:szCs w:val="33"/>
        </w:rPr>
        <w:t>般公共预算财政拨款项目支出决算表</w:t>
      </w:r>
      <w:bookmarkEnd w:id="90"/>
      <w:bookmarkEnd w:id="91"/>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lang w:eastAsia="zh-CN"/>
        </w:rPr>
      </w:pPr>
      <w:bookmarkStart w:id="92" w:name="_Toc15396628"/>
      <w:bookmarkStart w:id="93" w:name="_Toc6664"/>
      <w:r>
        <w:rPr>
          <w:rStyle w:val="15"/>
          <w:rFonts w:hint="default" w:ascii="Times New Roman" w:hAnsi="Times New Roman" w:eastAsia="方正仿宋_GBK" w:cs="Times New Roman"/>
          <w:b w:val="0"/>
          <w:bCs w:val="0"/>
          <w:sz w:val="33"/>
          <w:szCs w:val="33"/>
        </w:rPr>
        <w:t>十、</w:t>
      </w:r>
      <w:bookmarkEnd w:id="92"/>
      <w:r>
        <w:rPr>
          <w:rFonts w:hint="default" w:ascii="Times New Roman" w:hAnsi="Times New Roman" w:eastAsia="方正仿宋_GBK" w:cs="Times New Roman"/>
          <w:b w:val="0"/>
          <w:sz w:val="33"/>
          <w:szCs w:val="33"/>
        </w:rPr>
        <w:t>政</w:t>
      </w:r>
      <w:r>
        <w:rPr>
          <w:rStyle w:val="15"/>
          <w:rFonts w:hint="default" w:ascii="Times New Roman" w:hAnsi="Times New Roman" w:eastAsia="方正仿宋_GBK" w:cs="Times New Roman"/>
          <w:b w:val="0"/>
          <w:bCs w:val="0"/>
          <w:sz w:val="33"/>
          <w:szCs w:val="33"/>
        </w:rPr>
        <w:t>府性基金预算财政拨款收入支出决算表</w:t>
      </w:r>
      <w:bookmarkEnd w:id="93"/>
      <w:r>
        <w:rPr>
          <w:rStyle w:val="15"/>
          <w:rFonts w:hint="default" w:ascii="Times New Roman" w:hAnsi="Times New Roman" w:eastAsia="方正仿宋_GBK" w:cs="Times New Roman"/>
          <w:b w:val="0"/>
          <w:bCs w:val="0"/>
          <w:sz w:val="33"/>
          <w:szCs w:val="33"/>
          <w:lang w:eastAsia="zh-CN"/>
        </w:rPr>
        <w:t>（此表无数据）</w:t>
      </w:r>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94" w:name="_Toc15396629"/>
      <w:bookmarkStart w:id="95" w:name="_Toc15467"/>
      <w:r>
        <w:rPr>
          <w:rStyle w:val="15"/>
          <w:rFonts w:hint="default" w:ascii="Times New Roman" w:hAnsi="Times New Roman" w:eastAsia="方正仿宋_GBK" w:cs="Times New Roman"/>
          <w:b w:val="0"/>
          <w:bCs w:val="0"/>
          <w:sz w:val="33"/>
          <w:szCs w:val="33"/>
        </w:rPr>
        <w:t>十一、</w:t>
      </w:r>
      <w:bookmarkEnd w:id="94"/>
      <w:r>
        <w:rPr>
          <w:rFonts w:hint="default" w:ascii="Times New Roman" w:hAnsi="Times New Roman" w:eastAsia="方正仿宋_GBK" w:cs="Times New Roman"/>
          <w:b w:val="0"/>
          <w:sz w:val="33"/>
          <w:szCs w:val="33"/>
        </w:rPr>
        <w:t>国</w:t>
      </w:r>
      <w:r>
        <w:rPr>
          <w:rStyle w:val="15"/>
          <w:rFonts w:hint="default" w:ascii="Times New Roman" w:hAnsi="Times New Roman" w:eastAsia="方正仿宋_GBK" w:cs="Times New Roman"/>
          <w:b w:val="0"/>
          <w:bCs w:val="0"/>
          <w:sz w:val="33"/>
          <w:szCs w:val="33"/>
        </w:rPr>
        <w:t>有资本经营预算财政拨款收入支出决算表</w:t>
      </w:r>
      <w:bookmarkEnd w:id="95"/>
      <w:r>
        <w:rPr>
          <w:rStyle w:val="15"/>
          <w:rFonts w:hint="default" w:ascii="Times New Roman" w:hAnsi="Times New Roman" w:eastAsia="方正仿宋_GBK" w:cs="Times New Roman"/>
          <w:b w:val="0"/>
          <w:bCs w:val="0"/>
          <w:sz w:val="33"/>
          <w:szCs w:val="33"/>
          <w:lang w:eastAsia="zh-CN"/>
        </w:rPr>
        <w:t>（此表无数据）</w:t>
      </w:r>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96" w:name="_Toc15396630"/>
      <w:bookmarkStart w:id="97" w:name="_Toc24345"/>
      <w:r>
        <w:rPr>
          <w:rStyle w:val="15"/>
          <w:rFonts w:hint="default" w:ascii="Times New Roman" w:hAnsi="Times New Roman" w:eastAsia="方正仿宋_GBK" w:cs="Times New Roman"/>
          <w:b w:val="0"/>
          <w:bCs w:val="0"/>
          <w:sz w:val="33"/>
          <w:szCs w:val="33"/>
        </w:rPr>
        <w:t>十二、</w:t>
      </w:r>
      <w:bookmarkEnd w:id="96"/>
      <w:r>
        <w:rPr>
          <w:rStyle w:val="15"/>
          <w:rFonts w:hint="default" w:ascii="Times New Roman" w:hAnsi="Times New Roman" w:eastAsia="方正仿宋_GBK" w:cs="Times New Roman"/>
          <w:b w:val="0"/>
          <w:bCs w:val="0"/>
          <w:sz w:val="33"/>
          <w:szCs w:val="33"/>
        </w:rPr>
        <w:t>国有资本经营预算财政拨款支出决算表</w:t>
      </w:r>
      <w:bookmarkEnd w:id="97"/>
      <w:r>
        <w:rPr>
          <w:rStyle w:val="15"/>
          <w:rFonts w:hint="default" w:ascii="Times New Roman" w:hAnsi="Times New Roman" w:eastAsia="方正仿宋_GBK" w:cs="Times New Roman"/>
          <w:b w:val="0"/>
          <w:bCs w:val="0"/>
          <w:sz w:val="33"/>
          <w:szCs w:val="33"/>
          <w:lang w:val="en-US" w:eastAsia="zh-CN"/>
        </w:rPr>
        <w:t xml:space="preserve"> </w:t>
      </w:r>
      <w:r>
        <w:rPr>
          <w:rStyle w:val="15"/>
          <w:rFonts w:hint="default" w:ascii="Times New Roman" w:hAnsi="Times New Roman" w:eastAsia="方正仿宋_GBK" w:cs="Times New Roman"/>
          <w:b w:val="0"/>
          <w:bCs w:val="0"/>
          <w:sz w:val="33"/>
          <w:szCs w:val="33"/>
          <w:lang w:eastAsia="zh-CN"/>
        </w:rPr>
        <w:t>（此表无数据）</w:t>
      </w:r>
    </w:p>
    <w:p>
      <w:pPr>
        <w:pStyle w:val="4"/>
        <w:keepNext/>
        <w:keepLines/>
        <w:pageBreakBefore w:val="0"/>
        <w:widowControl w:val="0"/>
        <w:kinsoku/>
        <w:wordWrap/>
        <w:overflowPunct/>
        <w:topLinePunct w:val="0"/>
        <w:autoSpaceDE/>
        <w:autoSpaceDN/>
        <w:bidi w:val="0"/>
        <w:adjustRightInd/>
        <w:snapToGrid/>
        <w:spacing w:before="0" w:after="0" w:line="720" w:lineRule="exact"/>
        <w:ind w:firstLine="660" w:firstLineChars="200"/>
        <w:textAlignment w:val="auto"/>
        <w:rPr>
          <w:rFonts w:hint="default" w:ascii="Times New Roman" w:hAnsi="Times New Roman" w:eastAsia="方正仿宋_GBK" w:cs="Times New Roman"/>
          <w:sz w:val="33"/>
          <w:szCs w:val="33"/>
        </w:rPr>
      </w:pPr>
      <w:bookmarkStart w:id="98" w:name="_Toc15396631"/>
      <w:bookmarkStart w:id="99" w:name="_Toc28734"/>
      <w:r>
        <w:rPr>
          <w:rStyle w:val="15"/>
          <w:rFonts w:hint="default" w:ascii="Times New Roman" w:hAnsi="Times New Roman" w:eastAsia="方正仿宋_GBK" w:cs="Times New Roman"/>
          <w:b w:val="0"/>
          <w:bCs w:val="0"/>
          <w:sz w:val="33"/>
          <w:szCs w:val="33"/>
        </w:rPr>
        <w:t>十三、</w:t>
      </w:r>
      <w:bookmarkEnd w:id="98"/>
      <w:r>
        <w:rPr>
          <w:rStyle w:val="15"/>
          <w:rFonts w:hint="default" w:ascii="Times New Roman" w:hAnsi="Times New Roman" w:eastAsia="方正仿宋_GBK" w:cs="Times New Roman"/>
          <w:b w:val="0"/>
          <w:bCs w:val="0"/>
          <w:sz w:val="33"/>
          <w:szCs w:val="33"/>
        </w:rPr>
        <w:t>财政拨款“三公”经费支出决算表</w:t>
      </w:r>
      <w:bookmarkEnd w:id="99"/>
      <w:r>
        <w:rPr>
          <w:rStyle w:val="15"/>
          <w:rFonts w:hint="default" w:ascii="Times New Roman" w:hAnsi="Times New Roman" w:eastAsia="方正仿宋_GBK" w:cs="Times New Roman"/>
          <w:b w:val="0"/>
          <w:bCs w:val="0"/>
          <w:sz w:val="33"/>
          <w:szCs w:val="33"/>
          <w:lang w:eastAsia="zh-CN"/>
        </w:rPr>
        <w:t>（此表无数据）</w:t>
      </w:r>
    </w:p>
    <w:p>
      <w:pPr>
        <w:pStyle w:val="2"/>
        <w:spacing w:before="93"/>
        <w:rPr>
          <w:rFonts w:hint="default" w:ascii="Times New Roman" w:hAnsi="Times New Roman" w:eastAsia="仿宋" w:cs="Times New Roman"/>
          <w:b/>
          <w:sz w:val="30"/>
          <w:szCs w:val="30"/>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长城小标宋体">
    <w:panose1 w:val="02010609010101010101"/>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WY5OGIyNGQzZmRlNTk2MmIwNmNjYjU0ZmRmMjUifQ=="/>
  </w:docVars>
  <w:rsids>
    <w:rsidRoot w:val="00B6384F"/>
    <w:rsid w:val="00012465"/>
    <w:rsid w:val="000566D4"/>
    <w:rsid w:val="00060E5B"/>
    <w:rsid w:val="000876C2"/>
    <w:rsid w:val="000D71EE"/>
    <w:rsid w:val="0014051E"/>
    <w:rsid w:val="00181C60"/>
    <w:rsid w:val="001C0141"/>
    <w:rsid w:val="001D5E3C"/>
    <w:rsid w:val="001E52E4"/>
    <w:rsid w:val="0023664F"/>
    <w:rsid w:val="00250D9A"/>
    <w:rsid w:val="002551E3"/>
    <w:rsid w:val="00263988"/>
    <w:rsid w:val="002B7F87"/>
    <w:rsid w:val="002E4E03"/>
    <w:rsid w:val="00301E44"/>
    <w:rsid w:val="00391B23"/>
    <w:rsid w:val="00396FC8"/>
    <w:rsid w:val="003B1A39"/>
    <w:rsid w:val="00432262"/>
    <w:rsid w:val="00510FA6"/>
    <w:rsid w:val="00665E36"/>
    <w:rsid w:val="00677E56"/>
    <w:rsid w:val="006C06D4"/>
    <w:rsid w:val="006E23A0"/>
    <w:rsid w:val="00721AE5"/>
    <w:rsid w:val="00735D3F"/>
    <w:rsid w:val="007502C5"/>
    <w:rsid w:val="007D4DDB"/>
    <w:rsid w:val="007F5D18"/>
    <w:rsid w:val="00890926"/>
    <w:rsid w:val="008B1032"/>
    <w:rsid w:val="009229A0"/>
    <w:rsid w:val="009535FC"/>
    <w:rsid w:val="0097692F"/>
    <w:rsid w:val="009C0633"/>
    <w:rsid w:val="00A325D0"/>
    <w:rsid w:val="00A85A25"/>
    <w:rsid w:val="00AA1741"/>
    <w:rsid w:val="00AB3940"/>
    <w:rsid w:val="00B056D1"/>
    <w:rsid w:val="00B6384F"/>
    <w:rsid w:val="00B728B5"/>
    <w:rsid w:val="00B954AE"/>
    <w:rsid w:val="00BD7FEB"/>
    <w:rsid w:val="00BE691D"/>
    <w:rsid w:val="00BF0553"/>
    <w:rsid w:val="00D253ED"/>
    <w:rsid w:val="00DF240E"/>
    <w:rsid w:val="00EA0C65"/>
    <w:rsid w:val="00EA7200"/>
    <w:rsid w:val="00F762B5"/>
    <w:rsid w:val="02C02644"/>
    <w:rsid w:val="042D004D"/>
    <w:rsid w:val="060B1AD4"/>
    <w:rsid w:val="073318BB"/>
    <w:rsid w:val="189C1262"/>
    <w:rsid w:val="19F82F8E"/>
    <w:rsid w:val="235730B4"/>
    <w:rsid w:val="239F3FEB"/>
    <w:rsid w:val="29CE3CF8"/>
    <w:rsid w:val="2E584C19"/>
    <w:rsid w:val="33537949"/>
    <w:rsid w:val="3CEB72F9"/>
    <w:rsid w:val="43765BAC"/>
    <w:rsid w:val="4BEC58D1"/>
    <w:rsid w:val="4EA75CD0"/>
    <w:rsid w:val="508C3F36"/>
    <w:rsid w:val="52875DFF"/>
    <w:rsid w:val="5743135C"/>
    <w:rsid w:val="5E7734AA"/>
    <w:rsid w:val="641C3432"/>
    <w:rsid w:val="6AFD46F9"/>
    <w:rsid w:val="6D14632C"/>
    <w:rsid w:val="6DAC54BC"/>
    <w:rsid w:val="762C5D98"/>
    <w:rsid w:val="7A0E054E"/>
    <w:rsid w:val="7E8F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customStyle="1" w:styleId="14">
    <w:name w:val="标题 1 Char"/>
    <w:basedOn w:val="12"/>
    <w:link w:val="3"/>
    <w:qFormat/>
    <w:uiPriority w:val="9"/>
    <w:rPr>
      <w:b/>
      <w:bCs/>
      <w:kern w:val="44"/>
      <w:sz w:val="44"/>
      <w:szCs w:val="44"/>
    </w:rPr>
  </w:style>
  <w:style w:type="character" w:customStyle="1" w:styleId="15">
    <w:name w:val="标题 2 Char"/>
    <w:basedOn w:val="12"/>
    <w:link w:val="4"/>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dFaXND\Chart2%20in%20W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'[Chart2 in Wps.xlsx]Sheet1'!$A$3</c:f>
              <c:strCache>
                <c:ptCount val="1"/>
                <c:pt idx="0">
                  <c:v>总收、支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'[Chart2 in Wps.xlsx]Sheet1'!$B$2:$E$2</c:f>
              <c:strCache>
                <c:ptCount val="4"/>
                <c:pt idx="0">
                  <c:v>2021年</c:v>
                </c:pt>
                <c:pt idx="1">
                  <c:v>2022年</c:v>
                </c:pt>
                <c:pt idx="2">
                  <c:v>差额</c:v>
                </c:pt>
                <c:pt idx="3">
                  <c:v>增长率</c:v>
                </c:pt>
              </c:strCache>
            </c:strRef>
          </c:cat>
          <c:val>
            <c:numRef>
              <c:f>'[Chart2 in Wps.xlsx]Sheet1'!$B$3:$E$3</c:f>
              <c:numCache>
                <c:formatCode>General</c:formatCode>
                <c:ptCount val="4"/>
                <c:pt idx="0">
                  <c:v>22719.12</c:v>
                </c:pt>
                <c:pt idx="1">
                  <c:v>23823.64</c:v>
                </c:pt>
                <c:pt idx="2">
                  <c:v>1104.52</c:v>
                </c:pt>
                <c:pt idx="3" c:formatCode="0.00%">
                  <c:v>0.048</c:v>
                </c:pt>
              </c:numCache>
            </c:numRef>
          </c:val>
        </c:ser>
        <c:dLbls>
          <c:showLegendKey val="0"/>
          <c:showVal val="1"/>
          <c:showCatName val="0"/>
          <c:showSerName val="0"/>
          <c:showPercent val="0"/>
          <c:showBubbleSize val="0"/>
        </c:dLbls>
        <c:gapWidth val="219"/>
        <c:overlap val="-27"/>
        <c:axId val="469768096"/>
        <c:axId val="469768640"/>
      </c:barChart>
      <c:catAx>
        <c:axId val="469768096"/>
        <c:scaling>
          <c:orientation val="minMax"/>
        </c:scaling>
        <c:delete val="0"/>
        <c:axPos val="b"/>
        <c:title>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68640"/>
        <c:crosses val="autoZero"/>
        <c:auto val="1"/>
        <c:lblAlgn val="ctr"/>
        <c:lblOffset val="100"/>
        <c:noMultiLvlLbl val="0"/>
      </c:catAx>
      <c:valAx>
        <c:axId val="46976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68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年收入情况</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03996880407489"/>
                  <c:y val="0.01304142911741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3631387905685"/>
                  <c:y val="0.0241639941678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事业收入</c:v>
                </c:pt>
                <c:pt idx="2">
                  <c:v>其他收入</c:v>
                </c:pt>
              </c:strCache>
            </c:strRef>
          </c:cat>
          <c:val>
            <c:numRef>
              <c:f>Sheet1!$B$2:$B$5</c:f>
              <c:numCache>
                <c:formatCode>0.00%</c:formatCode>
                <c:ptCount val="4"/>
                <c:pt idx="0">
                  <c:v>0.1022</c:v>
                </c:pt>
                <c:pt idx="1" c:formatCode="0%">
                  <c:v>0.88</c:v>
                </c:pt>
                <c:pt idx="2">
                  <c:v>0.0177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年支出情况</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0.9746</c:v>
                </c:pt>
                <c:pt idx="1">
                  <c:v>0.0253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1254485431319"/>
          <c:y val="0.48360480068581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1985.48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2559.73</c:v>
                </c:pt>
              </c:numCache>
            </c:numRef>
          </c:val>
        </c:ser>
        <c:ser>
          <c:idx val="2"/>
          <c:order val="2"/>
          <c:tx>
            <c:strRef>
              <c:f>Sheet1!$D$1</c:f>
              <c:strCache>
                <c:ptCount val="1"/>
                <c:pt idx="0">
                  <c:v>差额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574.25</c:v>
                </c:pt>
              </c:numCache>
            </c:numRef>
          </c:val>
        </c:ser>
        <c:ser>
          <c:idx val="3"/>
          <c:order val="3"/>
          <c:tx>
            <c:strRef>
              <c:f>Sheet1!$E$1</c:f>
              <c:strCache>
                <c:ptCount val="1"/>
                <c:pt idx="0">
                  <c:v>增长率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0.2892</c:v>
                </c:pt>
              </c:numCache>
            </c:numRef>
          </c:val>
        </c:ser>
        <c:dLbls>
          <c:showLegendKey val="0"/>
          <c:showVal val="1"/>
          <c:showCatName val="0"/>
          <c:showSerName val="0"/>
          <c:showPercent val="0"/>
          <c:showBubbleSize val="0"/>
        </c:dLbls>
        <c:gapWidth val="219"/>
        <c:overlap val="-27"/>
        <c:axId val="469769184"/>
        <c:axId val="469771904"/>
      </c:barChart>
      <c:catAx>
        <c:axId val="4697691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71904"/>
        <c:crosses val="autoZero"/>
        <c:auto val="1"/>
        <c:lblAlgn val="ctr"/>
        <c:lblOffset val="100"/>
        <c:noMultiLvlLbl val="0"/>
      </c:catAx>
      <c:valAx>
        <c:axId val="46977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69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1985.48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2559.73</c:v>
                </c:pt>
              </c:numCache>
            </c:numRef>
          </c:val>
        </c:ser>
        <c:ser>
          <c:idx val="2"/>
          <c:order val="2"/>
          <c:tx>
            <c:strRef>
              <c:f>Sheet1!$D$1</c:f>
              <c:strCache>
                <c:ptCount val="1"/>
                <c:pt idx="0">
                  <c:v>差额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574.25</c:v>
                </c:pt>
              </c:numCache>
            </c:numRef>
          </c:val>
        </c:ser>
        <c:ser>
          <c:idx val="3"/>
          <c:order val="3"/>
          <c:tx>
            <c:strRef>
              <c:f>Sheet1!$E$1</c:f>
              <c:strCache>
                <c:ptCount val="1"/>
                <c:pt idx="0">
                  <c:v>增长率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c:formatCode>
                <c:ptCount val="1"/>
                <c:pt idx="0">
                  <c:v>0.2892</c:v>
                </c:pt>
              </c:numCache>
            </c:numRef>
          </c:val>
        </c:ser>
        <c:dLbls>
          <c:showLegendKey val="0"/>
          <c:showVal val="1"/>
          <c:showCatName val="0"/>
          <c:showSerName val="0"/>
          <c:showPercent val="0"/>
          <c:showBubbleSize val="0"/>
        </c:dLbls>
        <c:gapWidth val="219"/>
        <c:overlap val="-27"/>
        <c:axId val="469772992"/>
        <c:axId val="469776256"/>
      </c:barChart>
      <c:catAx>
        <c:axId val="469772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76256"/>
        <c:crosses val="autoZero"/>
        <c:auto val="1"/>
        <c:lblAlgn val="ctr"/>
        <c:lblOffset val="100"/>
        <c:noMultiLvlLbl val="0"/>
      </c:catAx>
      <c:valAx>
        <c:axId val="46977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772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一般公共服务支出</c:v>
                </c:pt>
                <c:pt idx="1">
                  <c:v>社会保障和就业支出</c:v>
                </c:pt>
                <c:pt idx="2">
                  <c:v>卫生健康支出</c:v>
                </c:pt>
              </c:strCache>
            </c:strRef>
          </c:cat>
          <c:val>
            <c:numRef>
              <c:f>Sheet1!$B$2:$B$4</c:f>
              <c:numCache>
                <c:formatCode>0.00%</c:formatCode>
                <c:ptCount val="3"/>
                <c:pt idx="0">
                  <c:v>0.0019</c:v>
                </c:pt>
                <c:pt idx="1">
                  <c:v>0.6561</c:v>
                </c:pt>
                <c:pt idx="2">
                  <c:v>0.342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BAFB9-6F86-48CC-A625-6CA81D96AFD3}">
  <ds:schemaRefs/>
</ds:datastoreItem>
</file>

<file path=docProps/app.xml><?xml version="1.0" encoding="utf-8"?>
<Properties xmlns="http://schemas.openxmlformats.org/officeDocument/2006/extended-properties" xmlns:vt="http://schemas.openxmlformats.org/officeDocument/2006/docPropsVTypes">
  <Template>Normal</Template>
  <Pages>102</Pages>
  <Words>32218</Words>
  <Characters>14848</Characters>
  <Lines>123</Lines>
  <Paragraphs>93</Paragraphs>
  <TotalTime>16</TotalTime>
  <ScaleCrop>false</ScaleCrop>
  <LinksUpToDate>false</LinksUpToDate>
  <CharactersWithSpaces>46973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test</cp:lastModifiedBy>
  <dcterms:modified xsi:type="dcterms:W3CDTF">2023-09-14T07:36:52Z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080569A8918F46AEAADEF629886322A0_12</vt:lpwstr>
  </property>
</Properties>
</file>