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方正仿宋_GB2312" w:hAnsi="方正仿宋_GB2312" w:eastAsia="方正仿宋_GB2312" w:cs="方正仿宋_GB2312"/>
          <w:b/>
          <w:bCs/>
          <w:sz w:val="32"/>
          <w:szCs w:val="32"/>
          <w:lang w:val="en-US" w:eastAsia="zh-CN"/>
        </w:rPr>
      </w:pPr>
      <w:r>
        <w:rPr>
          <w:rFonts w:hint="eastAsia" w:ascii="方正仿宋_GB2312" w:hAnsi="方正仿宋_GB2312" w:eastAsia="方正仿宋_GB2312" w:cs="方正仿宋_GB2312"/>
          <w:b/>
          <w:bCs/>
          <w:sz w:val="32"/>
          <w:szCs w:val="32"/>
          <w:lang w:val="en-US" w:eastAsia="zh-CN"/>
        </w:rPr>
        <w:t>附件：</w:t>
      </w:r>
      <w:bookmarkStart w:id="0" w:name="_GoBack"/>
      <w:r>
        <w:rPr>
          <w:rFonts w:hint="eastAsia" w:ascii="方正仿宋_GB2312" w:hAnsi="方正仿宋_GB2312" w:eastAsia="方正仿宋_GB2312" w:cs="方正仿宋_GB2312"/>
          <w:b/>
          <w:bCs/>
          <w:sz w:val="32"/>
          <w:szCs w:val="32"/>
          <w:lang w:val="en-US" w:eastAsia="zh-CN"/>
        </w:rPr>
        <w:t>比选评分细则</w:t>
      </w:r>
      <w:bookmarkEnd w:id="0"/>
    </w:p>
    <w:p>
      <w:pPr>
        <w:pStyle w:val="5"/>
        <w:ind w:firstLine="0" w:firstLineChars="0"/>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1.技术评分</w:t>
      </w:r>
      <w:r>
        <w:rPr>
          <w:rFonts w:hint="eastAsia" w:ascii="方正仿宋_GB2312" w:hAnsi="方正仿宋_GB2312" w:eastAsia="方正仿宋_GB2312" w:cs="方正仿宋_GB2312"/>
          <w:szCs w:val="21"/>
        </w:rPr>
        <w:t>（60分）</w:t>
      </w:r>
      <w:r>
        <w:rPr>
          <w:rFonts w:hint="eastAsia" w:ascii="方正仿宋_GB2312" w:hAnsi="方正仿宋_GB2312" w:eastAsia="方正仿宋_GB2312" w:cs="方正仿宋_GB2312"/>
          <w:sz w:val="24"/>
        </w:rPr>
        <w:t>：</w:t>
      </w:r>
    </w:p>
    <w:tbl>
      <w:tblPr>
        <w:tblStyle w:val="15"/>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2081"/>
        <w:gridCol w:w="777"/>
        <w:gridCol w:w="5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序号</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评审分项</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分值</w:t>
            </w:r>
          </w:p>
        </w:tc>
        <w:tc>
          <w:tcPr>
            <w:tcW w:w="5210"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服务团队</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5210"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具有履行合同所必需的专业技术支持能力：</w:t>
            </w:r>
          </w:p>
          <w:p>
            <w:pPr>
              <w:widowControl/>
              <w:numPr>
                <w:ilvl w:val="0"/>
                <w:numId w:val="2"/>
              </w:numPr>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病理诊断委托三级甲等综合医院病理科团队进行病理诊断的，得10分；</w:t>
            </w:r>
          </w:p>
          <w:p>
            <w:pPr>
              <w:widowControl/>
              <w:numPr>
                <w:ilvl w:val="0"/>
                <w:numId w:val="2"/>
              </w:numPr>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病理诊断依托第三方实验室自有病理人员进行诊断的，得5分；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（注：需提供三甲医院病理科盖章授权书、病理诊断专家团结简介等相应的证明材料；或提供供应商实验室自有病理医生的资格证书复印件和聘用协议并加盖投标人公章，无提供或资料不全者不得分）。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驻点人员及投入设备配置方案</w:t>
            </w:r>
          </w:p>
        </w:tc>
        <w:tc>
          <w:tcPr>
            <w:tcW w:w="777" w:type="dxa"/>
            <w:tcBorders>
              <w:top w:val="single" w:color="auto" w:sz="4" w:space="0"/>
              <w:left w:val="single" w:color="auto" w:sz="4" w:space="0"/>
              <w:bottom w:val="single" w:color="auto" w:sz="4" w:space="0"/>
              <w:right w:val="single" w:color="auto" w:sz="4" w:space="0"/>
            </w:tcBorders>
            <w:vAlign w:val="center"/>
          </w:tcPr>
          <w:p>
            <w:pPr>
              <w:autoSpaceDE w:val="0"/>
              <w:autoSpaceDN w:val="0"/>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5210"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提供完善的人员及设备配置方案，其中包含：</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1、能提供熟练的驻点技术人员协助科室业务开展；</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2、提供的设备能搭建病理科所需的技术平台；</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3、提供的设备自动化程度高，利于病理科提高工作效率。</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评审委员会根据提供的方案进行综合评审：</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优：人员、设备配备方案高度符合项目建设目标，得7分；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良：人员、设备配备方案符合项目建设目标，得4分；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差：人员、设备配备方案不符合项目建设目标，得0分。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（注：需提供人员相关资料、设备注册证等证明材料，不提供不得分）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售后服务</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10</w:t>
            </w:r>
          </w:p>
        </w:tc>
        <w:tc>
          <w:tcPr>
            <w:tcW w:w="5210"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提供完善的设备服务体系并拥有6人以上（含6人）售后服务团队，得10分；拥有3-6人的服务团队，得7分；拥有3人以下（含3人）的服务团队，得0分。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（注：提供设备维护人员名单及其近半年的社保证明或聘用协议，并加盖单位公章，无提供或资料不全者不得分）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信息化服务能力</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13</w:t>
            </w:r>
          </w:p>
        </w:tc>
        <w:tc>
          <w:tcPr>
            <w:tcW w:w="5210"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投标人拥有完善的信息化服务能力，能提供满足需求的病理报告系统；可根据需求，提供远程教学平台，链接平台专业培训资源，为病理医技人员提供持续的继续教育培训，提升病理技术水平。</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1、投标人具备完善的病理数字化与智能化研发和服务能力，为项目提供的信息系统功能完善，集成度高：</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投标人提供的系统为一体化信息系统，集成本地报告、远程会诊、AI辅助诊断，能满足并提高医院病理科的工作效率，每提供1项系统集成得2分，满分6分。</w:t>
            </w:r>
          </w:p>
          <w:p>
            <w:pPr>
              <w:widowControl/>
              <w:jc w:val="left"/>
              <w:rPr>
                <w:rFonts w:ascii="方正仿宋_GB2312" w:hAnsi="方正仿宋_GB2312" w:eastAsia="方正仿宋_GB2312" w:cs="方正仿宋_GB2312"/>
                <w:szCs w:val="21"/>
              </w:rPr>
            </w:pP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2、投标人可根据需求，搭建线上-线下病理交流平台。</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①投标人拥有自主开发的线上病理人才培训平台，提供病理人才系列培训课程，累计课程超过1000讲，且具备完善的病理亚专科学习内容（涵盖：如组织病理诊断、细胞病理诊断、免疫组织化学应用、FISH临床应用、病理诊断规范化培训等系统性的线上培训课程）；</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②投标人可提供线下交流活动：可协助不定期组织当地三甲医院高级职称病理专家为医院提供临床协作服务支持和病理学科建设提升服务，包括技术带教、专题讲座、学术交流等。</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1）优：提供优质的线上线下学术交流平台，提供全面、系统、连续的线上培训方案、提供完善线下学术交流方案等，且配套学术工具完善可行性高，实用性强，高度符合项目需求的，得7分。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2）良：服务方案的整体完善，可行性高，符合项目需求，得3分。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3）中：服务方案基本完整，具备一定可行性，基本符合项目需求，得1分。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4）差：服务方案的整体差，不符合项目需求，得0分。</w:t>
            </w:r>
          </w:p>
          <w:p>
            <w:pPr>
              <w:widowControl/>
              <w:jc w:val="left"/>
              <w:rPr>
                <w:rFonts w:ascii="方正仿宋_GB2312" w:hAnsi="方正仿宋_GB2312" w:eastAsia="方正仿宋_GB2312" w:cs="方正仿宋_GB2312"/>
                <w:szCs w:val="21"/>
              </w:rPr>
            </w:pP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（注：提供系统说明书、系统功能截图、平台相关截图等证明资料，加盖投标人公章，不提供不得分）</w:t>
            </w:r>
          </w:p>
          <w:p>
            <w:pPr>
              <w:pStyle w:val="14"/>
              <w:rPr>
                <w:rFonts w:ascii="方正仿宋_GB2312" w:hAnsi="方正仿宋_GB2312" w:eastAsia="方正仿宋_GB2312" w:cs="方正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5</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病理人才培养方案</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5210"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根据提供病理人才培养方案的整体质量、可行性进行打分：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1）优：服务方案的整体清晰、完善，提供包括人才培养的硬件设备、配套软件、专家支持等，配套工具完善可行性高，且高度符合项目需求的，得7分。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2）良：服务方案的整体质量方案完善，可行性高，符合项目需求，得3分。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3）中：服务方案的整体质量方案基本完整，具备一定可行性，基本符合项目需求，得1分。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4）差：服务方案的整体质量方案差，不符合项目需求，得0分。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（注：需提供配套工具说明，包括硬件及软件等，并提供至少一个成功实施案例证明材料，不提供不得分）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质量管理支持服务能力</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5210"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提供质量管理体系搭建和质量管理专家指导服务，提供承诺函及实施方案：</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1）提供质量管理体系搭建服务，得2分；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2）提供地市级以上病理质控中心高级职称专家指导服务，得2分；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3）协助我院病理科开展室间质评活动，得2分。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6"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2081"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技术服务拓展能力</w:t>
            </w:r>
          </w:p>
        </w:tc>
        <w:tc>
          <w:tcPr>
            <w:tcW w:w="777"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7</w:t>
            </w:r>
          </w:p>
        </w:tc>
        <w:tc>
          <w:tcPr>
            <w:tcW w:w="5210" w:type="dxa"/>
            <w:tcBorders>
              <w:top w:val="single" w:color="auto" w:sz="4" w:space="0"/>
              <w:left w:val="single" w:color="auto" w:sz="4" w:space="0"/>
              <w:bottom w:val="single" w:color="auto" w:sz="4" w:space="0"/>
              <w:right w:val="single" w:color="auto" w:sz="4" w:space="0"/>
            </w:tcBorders>
            <w:vAlign w:val="center"/>
          </w:tcPr>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能提供地市级病理专科联盟对接、区域远程会诊和区域线上教育平台搭建服务：</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1）优：服务方案的整体清晰、完善，且高度符合项目需求的，得7分。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2）良：服务方案的整体质量方案完善，可行性高，符合项目需求，得4分。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3）中：服务方案的整体质量方案基本完整，具备一定可行性，基本符合项目需求，得2分。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4）差：服务方案的整体质量方案差，不符合项目需求，得0分。</w:t>
            </w:r>
          </w:p>
          <w:p>
            <w:pPr>
              <w:widowControl/>
              <w:jc w:val="left"/>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（注：提供系统界面截图及至少一个成功实施案例证明材料）</w:t>
            </w:r>
          </w:p>
        </w:tc>
      </w:tr>
    </w:tbl>
    <w:p>
      <w:pPr>
        <w:pStyle w:val="5"/>
        <w:rPr>
          <w:rFonts w:ascii="方正仿宋_GB2312" w:hAnsi="方正仿宋_GB2312" w:eastAsia="方正仿宋_GB2312" w:cs="方正仿宋_GB2312"/>
          <w:szCs w:val="21"/>
        </w:rPr>
      </w:pPr>
    </w:p>
    <w:p>
      <w:pPr>
        <w:pStyle w:val="5"/>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2.商务评分（40分）：</w:t>
      </w:r>
    </w:p>
    <w:tbl>
      <w:tblPr>
        <w:tblStyle w:val="15"/>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083"/>
        <w:gridCol w:w="779"/>
        <w:gridCol w:w="5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序号</w:t>
            </w:r>
          </w:p>
        </w:tc>
        <w:tc>
          <w:tcPr>
            <w:tcW w:w="2083"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评审分项</w:t>
            </w:r>
          </w:p>
        </w:tc>
        <w:tc>
          <w:tcPr>
            <w:tcW w:w="779"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分值</w:t>
            </w:r>
          </w:p>
        </w:tc>
        <w:tc>
          <w:tcPr>
            <w:tcW w:w="5208" w:type="dxa"/>
            <w:tcBorders>
              <w:top w:val="single" w:color="auto" w:sz="4" w:space="0"/>
              <w:left w:val="single" w:color="auto" w:sz="4" w:space="0"/>
              <w:bottom w:val="single" w:color="auto" w:sz="4" w:space="0"/>
              <w:right w:val="single" w:color="auto" w:sz="4" w:space="0"/>
            </w:tcBorders>
            <w:vAlign w:val="center"/>
          </w:tcPr>
          <w:p>
            <w:pPr>
              <w:jc w:val="center"/>
              <w:rPr>
                <w:rFonts w:ascii="方正仿宋_GB2312" w:hAnsi="方正仿宋_GB2312" w:eastAsia="方正仿宋_GB2312" w:cs="方正仿宋_GB2312"/>
                <w:b/>
                <w:szCs w:val="21"/>
              </w:rPr>
            </w:pPr>
            <w:r>
              <w:rPr>
                <w:rFonts w:hint="eastAsia" w:ascii="方正仿宋_GB2312" w:hAnsi="方正仿宋_GB2312" w:eastAsia="方正仿宋_GB2312" w:cs="方正仿宋_GB2312"/>
                <w:b/>
                <w:szCs w:val="21"/>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1</w:t>
            </w:r>
          </w:p>
        </w:tc>
        <w:tc>
          <w:tcPr>
            <w:tcW w:w="20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企业认证水平</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5208" w:type="dxa"/>
            <w:tcBorders>
              <w:top w:val="single" w:color="auto" w:sz="4" w:space="0"/>
              <w:left w:val="single" w:color="auto" w:sz="4" w:space="0"/>
              <w:bottom w:val="single" w:color="auto" w:sz="4" w:space="0"/>
              <w:right w:val="single" w:color="auto" w:sz="4" w:space="0"/>
            </w:tcBorders>
            <w:vAlign w:val="center"/>
          </w:tcPr>
          <w:p>
            <w:pPr>
              <w:widowControl/>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 xml:space="preserve">1、具有临床基因扩增检验实验室技术审核合格证书，得3分（注：提供相关证明材料复印件并加盖供应商公章，不提供不得分）。 </w:t>
            </w:r>
          </w:p>
          <w:p>
            <w:pPr>
              <w:pStyle w:val="14"/>
              <w:widowControl/>
              <w:spacing w:after="0"/>
              <w:ind w:left="0" w:leftChars="0" w:firstLine="0" w:firstLineChars="0"/>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2、能提供分子病理项目室间质评合格证书，得3分（注：提供相关证明材料复印件并加盖供应商公章，不提供不得分）。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w:t>
            </w:r>
          </w:p>
        </w:tc>
        <w:tc>
          <w:tcPr>
            <w:tcW w:w="20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企业实力</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8</w:t>
            </w:r>
          </w:p>
        </w:tc>
        <w:tc>
          <w:tcPr>
            <w:tcW w:w="5208" w:type="dxa"/>
            <w:tcBorders>
              <w:top w:val="single" w:color="auto" w:sz="4" w:space="0"/>
              <w:left w:val="single" w:color="auto" w:sz="4" w:space="0"/>
              <w:bottom w:val="single" w:color="auto" w:sz="4" w:space="0"/>
              <w:right w:val="single" w:color="auto" w:sz="4" w:space="0"/>
            </w:tcBorders>
            <w:vAlign w:val="center"/>
          </w:tcPr>
          <w:p>
            <w:pP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具有病理病理科所需设备、试剂耗材自主生产及供应能力，能够为我院提供满足病理科建设所需的供应链资源（包括设备、检测试剂、耗材、软件等）及完善的服务，具备病理设备、试剂耗材生产、销售供应体系的得8分，仅具备部分的得3分，完全不具备的得0分（注：需提供</w:t>
            </w:r>
            <w:r>
              <w:rPr>
                <w:rFonts w:hint="eastAsia" w:ascii="方正仿宋_GB2312" w:hAnsi="方正仿宋_GB2312" w:eastAsia="方正仿宋_GB2312" w:cs="方正仿宋_GB2312"/>
              </w:rPr>
              <w:t>医疗器械生产许可证、医疗器械生产备案凭证等凭证</w:t>
            </w:r>
            <w:r>
              <w:rPr>
                <w:rFonts w:hint="eastAsia" w:ascii="方正仿宋_GB2312" w:hAnsi="方正仿宋_GB2312" w:eastAsia="方正仿宋_GB2312" w:cs="方正仿宋_GB2312"/>
                <w:szCs w:val="21"/>
              </w:rPr>
              <w:t>复印件并加盖供应商公章，不提供的不得分）。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3</w:t>
            </w:r>
          </w:p>
        </w:tc>
        <w:tc>
          <w:tcPr>
            <w:tcW w:w="20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履约能力</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6</w:t>
            </w:r>
          </w:p>
        </w:tc>
        <w:tc>
          <w:tcPr>
            <w:tcW w:w="5208" w:type="dxa"/>
            <w:tcBorders>
              <w:top w:val="single" w:color="auto" w:sz="4" w:space="0"/>
              <w:left w:val="single" w:color="auto" w:sz="4" w:space="0"/>
              <w:bottom w:val="single" w:color="auto" w:sz="4" w:space="0"/>
              <w:right w:val="single" w:color="auto" w:sz="4" w:space="0"/>
            </w:tcBorders>
            <w:vAlign w:val="center"/>
          </w:tcPr>
          <w:p>
            <w:pPr>
              <w:widowControl/>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提供近三年内具有同类型病理科合作共建项目业绩，每提供一个得2分，最高得6分（注：提供合同关键页复印件或中标通知书）。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4</w:t>
            </w:r>
          </w:p>
        </w:tc>
        <w:tc>
          <w:tcPr>
            <w:tcW w:w="208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报价</w:t>
            </w:r>
          </w:p>
        </w:tc>
        <w:tc>
          <w:tcPr>
            <w:tcW w:w="77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20</w:t>
            </w:r>
          </w:p>
        </w:tc>
        <w:tc>
          <w:tcPr>
            <w:tcW w:w="5208" w:type="dxa"/>
            <w:tcBorders>
              <w:top w:val="single" w:color="auto" w:sz="4" w:space="0"/>
              <w:left w:val="single" w:color="auto" w:sz="4" w:space="0"/>
              <w:bottom w:val="single" w:color="auto" w:sz="4" w:space="0"/>
              <w:right w:val="single" w:color="auto" w:sz="4" w:space="0"/>
            </w:tcBorders>
            <w:vAlign w:val="center"/>
          </w:tcPr>
          <w:p>
            <w:pPr>
              <w:widowControl/>
              <w:rPr>
                <w:rFonts w:ascii="方正仿宋_GB2312" w:hAnsi="方正仿宋_GB2312" w:eastAsia="方正仿宋_GB2312" w:cs="方正仿宋_GB2312"/>
                <w:szCs w:val="21"/>
              </w:rPr>
            </w:pPr>
            <w:r>
              <w:rPr>
                <w:rFonts w:hint="eastAsia" w:ascii="方正仿宋_GB2312" w:hAnsi="方正仿宋_GB2312" w:eastAsia="方正仿宋_GB2312" w:cs="方正仿宋_GB2312"/>
                <w:szCs w:val="21"/>
              </w:rPr>
              <w:t>按照合作项目总收入占比（百分比）的方式进行报价评估，所有有效的报价中，排名第一者（最低者）作为基准报价，在基准报价基础上每提高5%（不足5%按5%计算）扣1分，报价最低者得20分。</w:t>
            </w:r>
          </w:p>
        </w:tc>
      </w:tr>
    </w:tbl>
    <w:p>
      <w:pPr>
        <w:ind w:firstLine="420" w:firstLineChars="200"/>
        <w:rPr>
          <w:rFonts w:ascii="方正仿宋_GB2312" w:hAnsi="方正仿宋_GB2312" w:eastAsia="方正仿宋_GB2312" w:cs="方正仿宋_GB2312"/>
          <w:szCs w:val="21"/>
        </w:rPr>
      </w:pPr>
    </w:p>
    <w:p>
      <w:pPr>
        <w:pStyle w:val="7"/>
        <w:rPr>
          <w:rFonts w:ascii="方正仿宋_GB2312" w:hAnsi="方正仿宋_GB2312" w:eastAsia="方正仿宋_GB2312" w:cs="方正仿宋_GB2312"/>
        </w:rPr>
      </w:pPr>
    </w:p>
    <w:p>
      <w:pPr>
        <w:pStyle w:val="14"/>
        <w:ind w:left="0" w:leftChars="0" w:firstLine="0" w:firstLineChars="0"/>
        <w:rPr>
          <w:rFonts w:ascii="方正仿宋_GB2312" w:hAnsi="方正仿宋_GB2312" w:eastAsia="方正仿宋_GB2312" w:cs="方正仿宋_GB2312"/>
        </w:rPr>
      </w:pPr>
    </w:p>
    <w:p>
      <w:pPr>
        <w:pStyle w:val="14"/>
        <w:ind w:left="0" w:leftChars="0" w:firstLine="0" w:firstLineChars="0"/>
        <w:rPr>
          <w:rFonts w:ascii="方正仿宋_GB2312" w:hAnsi="方正仿宋_GB2312" w:eastAsia="方正仿宋_GB2312" w:cs="方正仿宋_GB2312"/>
        </w:rPr>
      </w:pPr>
    </w:p>
    <w:p>
      <w:pPr>
        <w:pStyle w:val="14"/>
        <w:ind w:left="0" w:leftChars="0" w:firstLine="0" w:firstLineChars="0"/>
        <w:rPr>
          <w:rFonts w:ascii="方正仿宋_GB2312" w:hAnsi="方正仿宋_GB2312" w:eastAsia="方正仿宋_GB2312" w:cs="方正仿宋_GB2312"/>
        </w:rPr>
      </w:pPr>
    </w:p>
    <w:p>
      <w:pPr>
        <w:pStyle w:val="14"/>
        <w:ind w:left="0" w:leftChars="0" w:firstLine="0" w:firstLineChars="0"/>
        <w:rPr>
          <w:rFonts w:ascii="方正仿宋_GB2312" w:hAnsi="方正仿宋_GB2312" w:eastAsia="方正仿宋_GB2312" w:cs="方正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2000000000000000000"/>
    <w:charset w:val="86"/>
    <w:family w:val="auto"/>
    <w:pitch w:val="default"/>
    <w:sig w:usb0="00000000" w:usb1="00000000" w:usb2="00000012" w:usb3="00000000" w:csb0="00040001" w:csb1="00000000"/>
    <w:embedRegular r:id="rId1" w:fontKey="{1535A10D-52C7-45B5-A670-9A04563AD577}"/>
  </w:font>
  <w:font w:name="方正仿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F32DBD"/>
    <w:multiLevelType w:val="singleLevel"/>
    <w:tmpl w:val="FBF32DBD"/>
    <w:lvl w:ilvl="0" w:tentative="0">
      <w:start w:val="1"/>
      <w:numFmt w:val="decimal"/>
      <w:suff w:val="nothing"/>
      <w:lvlText w:val="%1）"/>
      <w:lvlJc w:val="left"/>
    </w:lvl>
  </w:abstractNum>
  <w:abstractNum w:abstractNumId="1">
    <w:nsid w:val="3531449E"/>
    <w:multiLevelType w:val="multilevel"/>
    <w:tmpl w:val="3531449E"/>
    <w:lvl w:ilvl="0" w:tentative="0">
      <w:start w:val="1"/>
      <w:numFmt w:val="japaneseCounting"/>
      <w:pStyle w:val="19"/>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hlMmFlYzY1OGIxMzgzZjM5MDBjMjNiMGVmZDY5MTgifQ=="/>
  </w:docVars>
  <w:rsids>
    <w:rsidRoot w:val="000B2080"/>
    <w:rsid w:val="000469D0"/>
    <w:rsid w:val="000B2080"/>
    <w:rsid w:val="000C4992"/>
    <w:rsid w:val="0012706C"/>
    <w:rsid w:val="00184910"/>
    <w:rsid w:val="00200625"/>
    <w:rsid w:val="0021037F"/>
    <w:rsid w:val="0027289C"/>
    <w:rsid w:val="00286874"/>
    <w:rsid w:val="00290DB9"/>
    <w:rsid w:val="002A7E9E"/>
    <w:rsid w:val="002F60AD"/>
    <w:rsid w:val="00304BBC"/>
    <w:rsid w:val="0036102C"/>
    <w:rsid w:val="00366BE2"/>
    <w:rsid w:val="0037065E"/>
    <w:rsid w:val="00400620"/>
    <w:rsid w:val="00402111"/>
    <w:rsid w:val="004813B3"/>
    <w:rsid w:val="004908A2"/>
    <w:rsid w:val="004E6B20"/>
    <w:rsid w:val="005916ED"/>
    <w:rsid w:val="00594DFA"/>
    <w:rsid w:val="005E1FD1"/>
    <w:rsid w:val="0061462B"/>
    <w:rsid w:val="006311DC"/>
    <w:rsid w:val="0063361F"/>
    <w:rsid w:val="0065455F"/>
    <w:rsid w:val="00704ABE"/>
    <w:rsid w:val="007A3B19"/>
    <w:rsid w:val="007C3652"/>
    <w:rsid w:val="008248D3"/>
    <w:rsid w:val="0084326E"/>
    <w:rsid w:val="0085087D"/>
    <w:rsid w:val="009E6D55"/>
    <w:rsid w:val="00A172B5"/>
    <w:rsid w:val="00A25D29"/>
    <w:rsid w:val="00AB76D1"/>
    <w:rsid w:val="00AC546D"/>
    <w:rsid w:val="00AD4A46"/>
    <w:rsid w:val="00AE2F38"/>
    <w:rsid w:val="00BB1C4C"/>
    <w:rsid w:val="00C17BC5"/>
    <w:rsid w:val="00C479E3"/>
    <w:rsid w:val="00CB1306"/>
    <w:rsid w:val="00CC0883"/>
    <w:rsid w:val="00CD05C4"/>
    <w:rsid w:val="00D33EFD"/>
    <w:rsid w:val="00D75A21"/>
    <w:rsid w:val="00E0706F"/>
    <w:rsid w:val="00E25E7B"/>
    <w:rsid w:val="00E536D3"/>
    <w:rsid w:val="00E66137"/>
    <w:rsid w:val="00E73F02"/>
    <w:rsid w:val="00F84043"/>
    <w:rsid w:val="00FD13DB"/>
    <w:rsid w:val="012D0B24"/>
    <w:rsid w:val="02623C91"/>
    <w:rsid w:val="060C2D53"/>
    <w:rsid w:val="065F2230"/>
    <w:rsid w:val="07541C4C"/>
    <w:rsid w:val="091066B6"/>
    <w:rsid w:val="0E43308A"/>
    <w:rsid w:val="0EAC72B4"/>
    <w:rsid w:val="14131318"/>
    <w:rsid w:val="174340FA"/>
    <w:rsid w:val="18C3272C"/>
    <w:rsid w:val="1BA138A9"/>
    <w:rsid w:val="1C626F78"/>
    <w:rsid w:val="1E081BFA"/>
    <w:rsid w:val="1EFD54D7"/>
    <w:rsid w:val="204004F3"/>
    <w:rsid w:val="20466AB8"/>
    <w:rsid w:val="216E6218"/>
    <w:rsid w:val="21CE3395"/>
    <w:rsid w:val="23382D61"/>
    <w:rsid w:val="254F010E"/>
    <w:rsid w:val="267A2F9B"/>
    <w:rsid w:val="297B03A1"/>
    <w:rsid w:val="2E456552"/>
    <w:rsid w:val="305B205D"/>
    <w:rsid w:val="31C01C2C"/>
    <w:rsid w:val="333577B6"/>
    <w:rsid w:val="34D04DC8"/>
    <w:rsid w:val="38327B47"/>
    <w:rsid w:val="3A43798C"/>
    <w:rsid w:val="3A6A006E"/>
    <w:rsid w:val="3C1047C3"/>
    <w:rsid w:val="3E4055E5"/>
    <w:rsid w:val="3F972772"/>
    <w:rsid w:val="40026051"/>
    <w:rsid w:val="41E158E5"/>
    <w:rsid w:val="44421D0B"/>
    <w:rsid w:val="46640BA5"/>
    <w:rsid w:val="47146A61"/>
    <w:rsid w:val="47816FA8"/>
    <w:rsid w:val="47C75C4C"/>
    <w:rsid w:val="4A834233"/>
    <w:rsid w:val="4C027527"/>
    <w:rsid w:val="4D307E1B"/>
    <w:rsid w:val="4F74451D"/>
    <w:rsid w:val="4FCA2588"/>
    <w:rsid w:val="4FD01A82"/>
    <w:rsid w:val="52CD2703"/>
    <w:rsid w:val="53A46F38"/>
    <w:rsid w:val="5D2034AA"/>
    <w:rsid w:val="5EDB3860"/>
    <w:rsid w:val="60DF596B"/>
    <w:rsid w:val="619E04DC"/>
    <w:rsid w:val="625D436D"/>
    <w:rsid w:val="6436770E"/>
    <w:rsid w:val="65167D25"/>
    <w:rsid w:val="664B1C51"/>
    <w:rsid w:val="6804459F"/>
    <w:rsid w:val="68204A23"/>
    <w:rsid w:val="683F57E5"/>
    <w:rsid w:val="6F3F7239"/>
    <w:rsid w:val="6FA84567"/>
    <w:rsid w:val="72C77E07"/>
    <w:rsid w:val="76F81981"/>
    <w:rsid w:val="78EE142F"/>
    <w:rsid w:val="7C547659"/>
    <w:rsid w:val="7C6E1C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22"/>
    <w:autoRedefine/>
    <w:qFormat/>
    <w:uiPriority w:val="0"/>
    <w:pPr>
      <w:keepNext/>
      <w:keepLines/>
      <w:spacing w:before="340" w:after="330" w:line="578" w:lineRule="auto"/>
      <w:outlineLvl w:val="0"/>
    </w:pPr>
    <w:rPr>
      <w:rFonts w:ascii="Calibri" w:hAnsi="Calibri" w:eastAsia="宋体" w:cs="Times New Roman"/>
      <w:b/>
      <w:bCs/>
      <w:kern w:val="44"/>
      <w:sz w:val="44"/>
      <w:szCs w:val="44"/>
    </w:rPr>
  </w:style>
  <w:style w:type="paragraph" w:styleId="4">
    <w:name w:val="heading 2"/>
    <w:basedOn w:val="1"/>
    <w:next w:val="1"/>
    <w:link w:val="2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semiHidden/>
    <w:unhideWhenUsed/>
    <w:qFormat/>
    <w:uiPriority w:val="99"/>
    <w:pPr>
      <w:ind w:firstLine="420" w:firstLineChars="200"/>
    </w:pPr>
  </w:style>
  <w:style w:type="paragraph" w:styleId="6">
    <w:name w:val="annotation text"/>
    <w:basedOn w:val="1"/>
    <w:link w:val="29"/>
    <w:autoRedefine/>
    <w:semiHidden/>
    <w:unhideWhenUsed/>
    <w:qFormat/>
    <w:uiPriority w:val="99"/>
    <w:pPr>
      <w:jc w:val="left"/>
    </w:pPr>
  </w:style>
  <w:style w:type="paragraph" w:styleId="7">
    <w:name w:val="Body Text"/>
    <w:basedOn w:val="1"/>
    <w:link w:val="27"/>
    <w:autoRedefine/>
    <w:qFormat/>
    <w:uiPriority w:val="1"/>
    <w:pPr>
      <w:autoSpaceDE w:val="0"/>
      <w:autoSpaceDN w:val="0"/>
      <w:jc w:val="left"/>
    </w:pPr>
    <w:rPr>
      <w:rFonts w:ascii="宋体" w:hAnsi="宋体" w:eastAsia="宋体" w:cs="宋体"/>
      <w:kern w:val="0"/>
      <w:sz w:val="19"/>
      <w:szCs w:val="19"/>
      <w:lang w:val="zh-CN" w:bidi="zh-CN"/>
    </w:rPr>
  </w:style>
  <w:style w:type="paragraph" w:styleId="8">
    <w:name w:val="Body Text Indent"/>
    <w:basedOn w:val="1"/>
    <w:autoRedefine/>
    <w:qFormat/>
    <w:uiPriority w:val="0"/>
    <w:pPr>
      <w:ind w:firstLine="830" w:firstLineChars="352"/>
    </w:pPr>
    <w:rPr>
      <w:rFonts w:ascii="仿宋_GB2312" w:eastAsia="仿宋_GB2312"/>
      <w:sz w:val="32"/>
      <w:szCs w:val="20"/>
    </w:rPr>
  </w:style>
  <w:style w:type="paragraph" w:styleId="9">
    <w:name w:val="Plain Text"/>
    <w:basedOn w:val="1"/>
    <w:link w:val="24"/>
    <w:autoRedefine/>
    <w:qFormat/>
    <w:uiPriority w:val="0"/>
    <w:rPr>
      <w:rFonts w:ascii="宋体" w:hAnsi="Courier New" w:eastAsia="宋体" w:cs="Courier New"/>
      <w:szCs w:val="21"/>
    </w:rPr>
  </w:style>
  <w:style w:type="paragraph" w:styleId="10">
    <w:name w:val="Balloon Text"/>
    <w:basedOn w:val="1"/>
    <w:link w:val="31"/>
    <w:autoRedefine/>
    <w:semiHidden/>
    <w:unhideWhenUsed/>
    <w:qFormat/>
    <w:uiPriority w:val="99"/>
    <w:rPr>
      <w:sz w:val="18"/>
      <w:szCs w:val="18"/>
    </w:rPr>
  </w:style>
  <w:style w:type="paragraph" w:styleId="11">
    <w:name w:val="footer"/>
    <w:basedOn w:val="1"/>
    <w:autoRedefine/>
    <w:qFormat/>
    <w:uiPriority w:val="0"/>
    <w:pPr>
      <w:tabs>
        <w:tab w:val="center" w:pos="4153"/>
        <w:tab w:val="right" w:pos="8306"/>
      </w:tabs>
      <w:snapToGrid w:val="0"/>
      <w:jc w:val="left"/>
    </w:pPr>
    <w:rPr>
      <w:sz w:val="18"/>
      <w:szCs w:val="18"/>
    </w:rPr>
  </w:style>
  <w:style w:type="paragraph" w:styleId="12">
    <w:name w:val="header"/>
    <w:basedOn w:val="1"/>
    <w:autoRedefine/>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annotation subject"/>
    <w:basedOn w:val="6"/>
    <w:next w:val="6"/>
    <w:link w:val="30"/>
    <w:autoRedefine/>
    <w:semiHidden/>
    <w:unhideWhenUsed/>
    <w:qFormat/>
    <w:uiPriority w:val="99"/>
    <w:rPr>
      <w:b/>
      <w:bCs/>
    </w:rPr>
  </w:style>
  <w:style w:type="paragraph" w:styleId="14">
    <w:name w:val="Body Text First Indent 2"/>
    <w:basedOn w:val="8"/>
    <w:autoRedefine/>
    <w:unhideWhenUsed/>
    <w:qFormat/>
    <w:uiPriority w:val="99"/>
    <w:pPr>
      <w:spacing w:after="120"/>
      <w:ind w:left="420" w:leftChars="200" w:firstLine="420" w:firstLineChars="200"/>
    </w:pPr>
    <w:rPr>
      <w:sz w:val="21"/>
      <w:szCs w:val="24"/>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annotation reference"/>
    <w:basedOn w:val="17"/>
    <w:autoRedefine/>
    <w:semiHidden/>
    <w:unhideWhenUsed/>
    <w:qFormat/>
    <w:uiPriority w:val="99"/>
    <w:rPr>
      <w:sz w:val="21"/>
      <w:szCs w:val="21"/>
    </w:rPr>
  </w:style>
  <w:style w:type="paragraph" w:styleId="19">
    <w:name w:val="List Paragraph"/>
    <w:basedOn w:val="1"/>
    <w:link w:val="25"/>
    <w:autoRedefine/>
    <w:qFormat/>
    <w:uiPriority w:val="99"/>
    <w:pPr>
      <w:numPr>
        <w:ilvl w:val="0"/>
        <w:numId w:val="1"/>
      </w:numPr>
      <w:jc w:val="left"/>
    </w:pPr>
    <w:rPr>
      <w:rFonts w:ascii="宋体" w:hAnsi="宋体" w:eastAsia="宋体" w:cs="宋体"/>
      <w:b/>
      <w:sz w:val="32"/>
      <w:szCs w:val="32"/>
    </w:rPr>
  </w:style>
  <w:style w:type="character" w:customStyle="1" w:styleId="20">
    <w:name w:val="样式 正文缩进 + 首行缩进:  2 字符 Char"/>
    <w:link w:val="21"/>
    <w:qFormat/>
    <w:uiPriority w:val="0"/>
    <w:rPr>
      <w:rFonts w:eastAsia="宋体"/>
      <w:sz w:val="24"/>
    </w:rPr>
  </w:style>
  <w:style w:type="paragraph" w:customStyle="1" w:styleId="21">
    <w:name w:val="样式 正文缩进 + 首行缩进:  2 字符"/>
    <w:basedOn w:val="5"/>
    <w:link w:val="20"/>
    <w:autoRedefine/>
    <w:qFormat/>
    <w:uiPriority w:val="0"/>
    <w:pPr>
      <w:spacing w:line="360" w:lineRule="auto"/>
      <w:ind w:firstLine="200"/>
    </w:pPr>
    <w:rPr>
      <w:rFonts w:eastAsia="宋体"/>
      <w:sz w:val="24"/>
    </w:rPr>
  </w:style>
  <w:style w:type="character" w:customStyle="1" w:styleId="22">
    <w:name w:val="标题 1 Char"/>
    <w:basedOn w:val="17"/>
    <w:link w:val="3"/>
    <w:autoRedefine/>
    <w:qFormat/>
    <w:uiPriority w:val="0"/>
    <w:rPr>
      <w:rFonts w:ascii="Calibri" w:hAnsi="Calibri" w:eastAsia="宋体" w:cs="Times New Roman"/>
      <w:b/>
      <w:bCs/>
      <w:kern w:val="44"/>
      <w:sz w:val="44"/>
      <w:szCs w:val="44"/>
    </w:rPr>
  </w:style>
  <w:style w:type="character" w:customStyle="1" w:styleId="23">
    <w:name w:val="标题 2 Char"/>
    <w:basedOn w:val="17"/>
    <w:link w:val="4"/>
    <w:autoRedefine/>
    <w:qFormat/>
    <w:uiPriority w:val="9"/>
    <w:rPr>
      <w:rFonts w:asciiTheme="majorHAnsi" w:hAnsiTheme="majorHAnsi" w:eastAsiaTheme="majorEastAsia" w:cstheme="majorBidi"/>
      <w:b/>
      <w:bCs/>
      <w:sz w:val="32"/>
      <w:szCs w:val="32"/>
    </w:rPr>
  </w:style>
  <w:style w:type="character" w:customStyle="1" w:styleId="24">
    <w:name w:val="纯文本 Char"/>
    <w:basedOn w:val="17"/>
    <w:link w:val="9"/>
    <w:qFormat/>
    <w:uiPriority w:val="0"/>
    <w:rPr>
      <w:rFonts w:ascii="宋体" w:hAnsi="Courier New" w:eastAsia="宋体" w:cs="Courier New"/>
      <w:szCs w:val="21"/>
    </w:rPr>
  </w:style>
  <w:style w:type="character" w:customStyle="1" w:styleId="25">
    <w:name w:val="列出段落 Char"/>
    <w:link w:val="19"/>
    <w:autoRedefine/>
    <w:qFormat/>
    <w:uiPriority w:val="99"/>
    <w:rPr>
      <w:rFonts w:ascii="宋体" w:hAnsi="宋体" w:cs="宋体"/>
      <w:b/>
      <w:kern w:val="2"/>
      <w:sz w:val="32"/>
      <w:szCs w:val="32"/>
    </w:rPr>
  </w:style>
  <w:style w:type="table" w:customStyle="1" w:styleId="26">
    <w:name w:val="Table Normal"/>
    <w:autoRedefine/>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character" w:customStyle="1" w:styleId="27">
    <w:name w:val="正文文本 Char"/>
    <w:basedOn w:val="17"/>
    <w:link w:val="7"/>
    <w:autoRedefine/>
    <w:qFormat/>
    <w:uiPriority w:val="1"/>
    <w:rPr>
      <w:rFonts w:ascii="宋体" w:hAnsi="宋体" w:eastAsia="宋体" w:cs="宋体"/>
      <w:sz w:val="19"/>
      <w:szCs w:val="19"/>
      <w:lang w:val="zh-CN" w:bidi="zh-CN"/>
    </w:rPr>
  </w:style>
  <w:style w:type="paragraph" w:customStyle="1" w:styleId="28">
    <w:name w:val="Table Paragraph"/>
    <w:basedOn w:val="1"/>
    <w:autoRedefine/>
    <w:qFormat/>
    <w:uiPriority w:val="1"/>
    <w:pPr>
      <w:autoSpaceDE w:val="0"/>
      <w:autoSpaceDN w:val="0"/>
      <w:jc w:val="left"/>
    </w:pPr>
    <w:rPr>
      <w:rFonts w:ascii="宋体" w:hAnsi="宋体" w:eastAsia="宋体" w:cs="宋体"/>
      <w:kern w:val="0"/>
      <w:sz w:val="22"/>
      <w:szCs w:val="22"/>
      <w:lang w:val="zh-CN" w:bidi="zh-CN"/>
    </w:rPr>
  </w:style>
  <w:style w:type="character" w:customStyle="1" w:styleId="29">
    <w:name w:val="批注文字 Char"/>
    <w:basedOn w:val="17"/>
    <w:link w:val="6"/>
    <w:autoRedefine/>
    <w:semiHidden/>
    <w:qFormat/>
    <w:uiPriority w:val="99"/>
    <w:rPr>
      <w:rFonts w:asciiTheme="minorHAnsi" w:hAnsiTheme="minorHAnsi" w:eastAsiaTheme="minorEastAsia" w:cstheme="minorBidi"/>
      <w:kern w:val="2"/>
      <w:sz w:val="21"/>
      <w:szCs w:val="24"/>
    </w:rPr>
  </w:style>
  <w:style w:type="character" w:customStyle="1" w:styleId="30">
    <w:name w:val="批注主题 Char"/>
    <w:basedOn w:val="29"/>
    <w:link w:val="13"/>
    <w:semiHidden/>
    <w:qFormat/>
    <w:uiPriority w:val="99"/>
    <w:rPr>
      <w:rFonts w:asciiTheme="minorHAnsi" w:hAnsiTheme="minorHAnsi" w:eastAsiaTheme="minorEastAsia" w:cstheme="minorBidi"/>
      <w:b/>
      <w:bCs/>
      <w:kern w:val="2"/>
      <w:sz w:val="21"/>
      <w:szCs w:val="24"/>
    </w:rPr>
  </w:style>
  <w:style w:type="character" w:customStyle="1" w:styleId="31">
    <w:name w:val="批注框文本 Char"/>
    <w:basedOn w:val="17"/>
    <w:link w:val="10"/>
    <w:autoRedefine/>
    <w:semiHidden/>
    <w:qFormat/>
    <w:uiPriority w:val="99"/>
    <w:rPr>
      <w:rFonts w:asciiTheme="minorHAnsi" w:hAnsiTheme="minorHAnsi" w:eastAsiaTheme="minorEastAsia" w:cstheme="minorBidi"/>
      <w:kern w:val="2"/>
      <w:sz w:val="18"/>
      <w:szCs w:val="18"/>
    </w:rPr>
  </w:style>
  <w:style w:type="paragraph" w:customStyle="1" w:styleId="32">
    <w:name w:val="正文缩进1"/>
    <w:basedOn w:val="1"/>
    <w:autoRedefine/>
    <w:qFormat/>
    <w:uiPriority w:val="0"/>
    <w:pPr>
      <w:ind w:firstLine="420"/>
    </w:pPr>
    <w:rPr>
      <w:szCs w:val="20"/>
    </w:rPr>
  </w:style>
  <w:style w:type="character" w:customStyle="1" w:styleId="33">
    <w:name w:val="页码1"/>
    <w:autoRedefine/>
    <w:qFormat/>
    <w:uiPriority w:val="0"/>
  </w:style>
  <w:style w:type="paragraph" w:customStyle="1" w:styleId="34">
    <w:name w:val="1"/>
    <w:basedOn w:val="1"/>
    <w:next w:val="9"/>
    <w:autoRedefine/>
    <w:qFormat/>
    <w:uiPriority w:val="99"/>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491</Words>
  <Characters>2802</Characters>
  <Lines>23</Lines>
  <Paragraphs>6</Paragraphs>
  <TotalTime>33</TotalTime>
  <ScaleCrop>false</ScaleCrop>
  <LinksUpToDate>false</LinksUpToDate>
  <CharactersWithSpaces>3287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2022-07-29T09:09:00Z</dcterms:created>
  <dc:creator>xb21cn</dc:creator>
  <cp:lastModifiedBy>虎晓燕</cp:lastModifiedBy>
  <dcterms:modified xsi:type="dcterms:W3CDTF">2024-01-23T08:04:37Z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2E4F163AF06C43CDA2E0EC339B73C40E_13</vt:lpwstr>
  </property>
</Properties>
</file>