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仿宋_GB2312" w:hAnsi="方正仿宋_GB2312" w:eastAsia="方正仿宋_GB2312" w:cs="方正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2"/>
          <w:sz w:val="32"/>
          <w:szCs w:val="32"/>
          <w:lang w:val="en-US" w:eastAsia="zh-CN" w:bidi="ar-SA"/>
        </w:rPr>
        <w:t>附件：评分细则</w:t>
      </w:r>
    </w:p>
    <w:p>
      <w:pPr>
        <w:pStyle w:val="2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评分标准</w:t>
      </w:r>
    </w:p>
    <w:tbl>
      <w:tblPr>
        <w:tblStyle w:val="16"/>
        <w:tblW w:w="9011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30"/>
        <w:gridCol w:w="3475"/>
        <w:gridCol w:w="762"/>
        <w:gridCol w:w="1188"/>
        <w:gridCol w:w="152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gridSpan w:val="2"/>
            <w:noWrap w:val="0"/>
            <w:vAlign w:val="top"/>
          </w:tcPr>
          <w:p>
            <w:pPr>
              <w:pStyle w:val="38"/>
              <w:jc w:val="center"/>
            </w:pPr>
            <w:r>
              <w:t xml:space="preserve"> 评审因素</w:t>
            </w:r>
          </w:p>
        </w:tc>
        <w:tc>
          <w:tcPr>
            <w:tcW w:w="6950" w:type="dxa"/>
            <w:gridSpan w:val="4"/>
            <w:noWrap w:val="0"/>
            <w:vAlign w:val="top"/>
          </w:tcPr>
          <w:p>
            <w:pPr>
              <w:pStyle w:val="38"/>
              <w:jc w:val="center"/>
            </w:pPr>
            <w:r>
              <w:t xml:space="preserve"> 评审标准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gridSpan w:val="2"/>
            <w:noWrap w:val="0"/>
            <w:vAlign w:val="top"/>
          </w:tcPr>
          <w:p>
            <w:pPr>
              <w:pStyle w:val="38"/>
              <w:jc w:val="center"/>
            </w:pPr>
            <w:r>
              <w:t xml:space="preserve"> 分值构成</w:t>
            </w:r>
          </w:p>
        </w:tc>
        <w:tc>
          <w:tcPr>
            <w:tcW w:w="6950" w:type="dxa"/>
            <w:gridSpan w:val="4"/>
            <w:noWrap w:val="0"/>
            <w:vAlign w:val="top"/>
          </w:tcPr>
          <w:p>
            <w:pPr>
              <w:pStyle w:val="38"/>
            </w:pPr>
            <w:r>
              <w:t>详细评审100.00分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top"/>
          </w:tcPr>
          <w:p>
            <w:pPr>
              <w:pStyle w:val="38"/>
              <w:jc w:val="center"/>
            </w:pPr>
            <w:r>
              <w:t xml:space="preserve"> 评审因素分类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38"/>
              <w:jc w:val="center"/>
            </w:pPr>
            <w:r>
              <w:t xml:space="preserve"> 评审项</w:t>
            </w:r>
          </w:p>
        </w:tc>
        <w:tc>
          <w:tcPr>
            <w:tcW w:w="3475" w:type="dxa"/>
            <w:noWrap w:val="0"/>
            <w:vAlign w:val="top"/>
          </w:tcPr>
          <w:p>
            <w:pPr>
              <w:pStyle w:val="38"/>
              <w:jc w:val="center"/>
            </w:pPr>
            <w:r>
              <w:t xml:space="preserve"> 详细描述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38"/>
              <w:jc w:val="center"/>
            </w:pPr>
            <w:r>
              <w:t xml:space="preserve"> 分值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38"/>
              <w:jc w:val="center"/>
            </w:pPr>
            <w:r>
              <w:t xml:space="preserve"> 客观/主观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pStyle w:val="38"/>
              <w:jc w:val="center"/>
            </w:pPr>
            <w:r>
              <w:t xml:space="preserve"> 关联格式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restart"/>
            <w:noWrap w:val="0"/>
            <w:vAlign w:val="top"/>
          </w:tcPr>
          <w:p>
            <w:pPr>
              <w:pStyle w:val="38"/>
            </w:pPr>
            <w:r>
              <w:t>详细评审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pStyle w:val="38"/>
            </w:pPr>
            <w:r>
              <w:t>报价</w:t>
            </w:r>
          </w:p>
        </w:tc>
        <w:tc>
          <w:tcPr>
            <w:tcW w:w="3475" w:type="dxa"/>
            <w:noWrap w:val="0"/>
            <w:vAlign w:val="top"/>
          </w:tcPr>
          <w:p>
            <w:pPr>
              <w:pStyle w:val="38"/>
            </w:pPr>
            <w:r>
              <w:t>满足磋商文件要求且最终磋商报价最低的有效报价为磋商基准价，其价格分为</w:t>
            </w:r>
            <w:r>
              <w:rPr>
                <w:rFonts w:hint="eastAsia"/>
                <w:lang w:val="en-US" w:eastAsia="zh-CN"/>
              </w:rPr>
              <w:t>20</w:t>
            </w:r>
            <w:r>
              <w:t>分。其他供应商的价格分统一按照 下列公式计算：磋商报价得分=(磋商基准价／最后磋商报价)*</w:t>
            </w:r>
            <w:r>
              <w:rPr>
                <w:rFonts w:hint="eastAsia"/>
                <w:lang w:val="en-US" w:eastAsia="zh-CN"/>
              </w:rPr>
              <w:t>20</w:t>
            </w:r>
            <w:r>
              <w:t>*100%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38"/>
              <w:jc w:val="right"/>
            </w:pPr>
            <w:r>
              <w:rPr>
                <w:rFonts w:hint="eastAsia"/>
                <w:lang w:val="en-US" w:eastAsia="zh-CN"/>
              </w:rPr>
              <w:t>20</w:t>
            </w:r>
            <w:r>
              <w:t>.00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38"/>
            </w:pPr>
            <w:r>
              <w:t>客观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pStyle w:val="38"/>
            </w:pPr>
            <w:r>
              <w:t>报价表</w:t>
            </w:r>
          </w:p>
          <w:p>
            <w:pPr>
              <w:pStyle w:val="38"/>
            </w:pPr>
            <w:r>
              <w:t>分项报价表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>
            <w:pPr>
              <w:pStyle w:val="38"/>
            </w:pPr>
            <w:r>
              <w:t>技术、服务要求</w:t>
            </w:r>
          </w:p>
        </w:tc>
        <w:tc>
          <w:tcPr>
            <w:tcW w:w="3475" w:type="dxa"/>
            <w:noWrap w:val="0"/>
            <w:vAlign w:val="top"/>
          </w:tcPr>
          <w:p>
            <w:pPr>
              <w:pStyle w:val="38"/>
            </w:pPr>
            <w:r>
              <w:t>完全符合磋商文件技术、服务要求没有负偏离得</w:t>
            </w:r>
            <w:r>
              <w:rPr>
                <w:rFonts w:hint="eastAsia"/>
                <w:lang w:val="en-US" w:eastAsia="zh-CN"/>
              </w:rPr>
              <w:t>30</w:t>
            </w:r>
            <w:r>
              <w:t>分；▲条款(</w:t>
            </w:r>
            <w:r>
              <w:rPr>
                <w:rFonts w:hint="eastAsia"/>
                <w:lang w:val="en-US" w:eastAsia="zh-CN"/>
              </w:rPr>
              <w:t>6</w:t>
            </w:r>
            <w:r>
              <w:t>条)负偏离一项扣</w:t>
            </w:r>
            <w:r>
              <w:rPr>
                <w:rFonts w:hint="eastAsia"/>
                <w:lang w:val="en-US" w:eastAsia="zh-CN"/>
              </w:rPr>
              <w:t>3</w:t>
            </w:r>
            <w:r>
              <w:t>分，非▲的（</w:t>
            </w:r>
            <w:r>
              <w:rPr>
                <w:rFonts w:hint="eastAsia"/>
                <w:lang w:val="en-US" w:eastAsia="zh-CN"/>
              </w:rPr>
              <w:t>12</w:t>
            </w:r>
            <w:r>
              <w:t>条）负偏离一项扣</w:t>
            </w:r>
            <w:r>
              <w:rPr>
                <w:rFonts w:hint="eastAsia"/>
                <w:lang w:val="en-US" w:eastAsia="zh-CN"/>
              </w:rPr>
              <w:t>1</w:t>
            </w:r>
            <w:r>
              <w:t>分，扣完为止。 注：▲条款需按要求提供相关证明材料。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38"/>
              <w:jc w:val="right"/>
            </w:pPr>
            <w:r>
              <w:rPr>
                <w:rFonts w:hint="eastAsia"/>
                <w:lang w:val="en-US" w:eastAsia="zh-CN"/>
              </w:rPr>
              <w:t>30</w:t>
            </w:r>
            <w:r>
              <w:t>.00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38"/>
            </w:pPr>
            <w:r>
              <w:t>客观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pStyle w:val="38"/>
            </w:pPr>
            <w:r>
              <w:t>供应商认为应当提供的其他证明材料</w:t>
            </w:r>
          </w:p>
          <w:p>
            <w:pPr>
              <w:pStyle w:val="38"/>
            </w:pPr>
            <w:r>
              <w:t>服务内容及服务要求响应表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>
            <w:pPr>
              <w:pStyle w:val="38"/>
            </w:pPr>
            <w:r>
              <w:t>服务方案</w:t>
            </w:r>
          </w:p>
        </w:tc>
        <w:tc>
          <w:tcPr>
            <w:tcW w:w="3475" w:type="dxa"/>
            <w:noWrap w:val="0"/>
            <w:vAlign w:val="top"/>
          </w:tcPr>
          <w:p>
            <w:pPr>
              <w:pStyle w:val="38"/>
            </w:pPr>
            <w:r>
              <w:t>根据供应商提供的针对本项目的项目实施方案进行评审，具体包括：1.巡检维保计划；2.零配件配备方案；3.质量保障措施；4.详细的培训计划；5.应急措施。以上5 项方案内容完整且符合本项目要求的得</w:t>
            </w:r>
            <w:r>
              <w:rPr>
                <w:rFonts w:hint="eastAsia"/>
                <w:lang w:val="en-US" w:eastAsia="zh-CN"/>
              </w:rPr>
              <w:t>40</w:t>
            </w:r>
            <w:r>
              <w:t>分，每有一项缺项扣</w:t>
            </w:r>
            <w:r>
              <w:rPr>
                <w:rFonts w:hint="eastAsia"/>
                <w:lang w:val="en-US" w:eastAsia="zh-CN"/>
              </w:rPr>
              <w:t>8</w:t>
            </w:r>
            <w:r>
              <w:t>分，每有一项内容存在缺陷的扣</w:t>
            </w:r>
            <w:r>
              <w:rPr>
                <w:rFonts w:hint="eastAsia"/>
                <w:lang w:val="en-US" w:eastAsia="zh-CN"/>
              </w:rPr>
              <w:t>4</w:t>
            </w:r>
            <w:r>
              <w:t>分，扣完为止。 注：缺陷是指：数据、名称、专业术语及符号、文字表述错误、前后矛盾；方案中存在与本项目现场情况无关内容，或存在明显抄袭、照搬其他地区及项目的内容等其中任意一种情形。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38"/>
              <w:jc w:val="right"/>
            </w:pPr>
            <w:r>
              <w:rPr>
                <w:rFonts w:hint="eastAsia"/>
                <w:lang w:val="en-US" w:eastAsia="zh-CN"/>
              </w:rPr>
              <w:t>40</w:t>
            </w:r>
            <w:r>
              <w:t>.00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38"/>
            </w:pPr>
            <w:r>
              <w:t>客观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pStyle w:val="38"/>
            </w:pPr>
            <w:r>
              <w:t>供应商认为应当提供的其他证明材料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>
            <w:pPr>
              <w:pStyle w:val="38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t>服务业绩</w:t>
            </w:r>
          </w:p>
        </w:tc>
        <w:tc>
          <w:tcPr>
            <w:tcW w:w="3475" w:type="dxa"/>
            <w:noWrap w:val="0"/>
            <w:vAlign w:val="top"/>
          </w:tcPr>
          <w:p>
            <w:pPr>
              <w:pStyle w:val="38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t>提供</w:t>
            </w:r>
            <w:r>
              <w:rPr>
                <w:rFonts w:hint="eastAsia"/>
                <w:lang w:val="en-US" w:eastAsia="zh-CN"/>
              </w:rPr>
              <w:t>同类</w:t>
            </w:r>
            <w:r>
              <w:t>CT设备的维修业绩，每提供1项得</w:t>
            </w:r>
            <w:r>
              <w:rPr>
                <w:rFonts w:hint="eastAsia"/>
                <w:lang w:val="en-US" w:eastAsia="zh-CN"/>
              </w:rPr>
              <w:t>1</w:t>
            </w:r>
            <w:r>
              <w:t>分，最多得</w:t>
            </w:r>
            <w:r>
              <w:rPr>
                <w:rFonts w:hint="eastAsia"/>
                <w:lang w:val="en-US" w:eastAsia="zh-CN"/>
              </w:rPr>
              <w:t>4</w:t>
            </w:r>
            <w:r>
              <w:t>分。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38"/>
              <w:jc w:val="righ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t>.00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38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t>客观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pStyle w:val="38"/>
            </w:pPr>
            <w:r>
              <w:t>供应商根据评分标准要求进行响应</w:t>
            </w:r>
          </w:p>
          <w:p>
            <w:pPr>
              <w:pStyle w:val="38"/>
              <w:rPr>
                <w:rFonts w:hint="eastAsia" w:ascii="Calibri" w:hAnsi="Calibri" w:eastAsia="宋体" w:cs="Times New Roman"/>
                <w:lang w:val="en-US" w:eastAsia="zh-Hans"/>
              </w:rPr>
            </w:pPr>
            <w:r>
              <w:t>商务应答表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noWrap w:val="0"/>
            <w:vAlign w:val="top"/>
          </w:tcPr>
          <w:p/>
        </w:tc>
        <w:tc>
          <w:tcPr>
            <w:tcW w:w="1230" w:type="dxa"/>
            <w:noWrap w:val="0"/>
            <w:vAlign w:val="top"/>
          </w:tcPr>
          <w:p>
            <w:pPr>
              <w:pStyle w:val="38"/>
            </w:pPr>
            <w:r>
              <w:t>服务于本项目的人员配置</w:t>
            </w:r>
          </w:p>
        </w:tc>
        <w:tc>
          <w:tcPr>
            <w:tcW w:w="3475" w:type="dxa"/>
            <w:noWrap w:val="0"/>
            <w:vAlign w:val="top"/>
          </w:tcPr>
          <w:p>
            <w:pPr>
              <w:pStyle w:val="38"/>
              <w:rPr>
                <w:rFonts w:hint="eastAsia"/>
                <w:lang w:eastAsia="zh-CN"/>
              </w:rPr>
            </w:pPr>
            <w:r>
              <w:t>供应商配置的具有在2024年有效期内的原厂培训合格证书的CT工程师</w:t>
            </w:r>
            <w:r>
              <w:rPr>
                <w:rFonts w:hint="eastAsia"/>
                <w:lang w:val="en-US" w:eastAsia="zh-CN"/>
              </w:rPr>
              <w:t>2</w:t>
            </w:r>
            <w:r>
              <w:t>人</w:t>
            </w:r>
            <w:r>
              <w:rPr>
                <w:rFonts w:hint="eastAsia"/>
                <w:lang w:val="en-US" w:eastAsia="zh-CN"/>
              </w:rPr>
              <w:t>得2分，</w:t>
            </w:r>
            <w:r>
              <w:t>每增加1人</w:t>
            </w:r>
            <w:r>
              <w:rPr>
                <w:rFonts w:hint="eastAsia"/>
                <w:lang w:val="en-US" w:eastAsia="zh-CN"/>
              </w:rPr>
              <w:t>加2</w:t>
            </w:r>
            <w:r>
              <w:t>分，最多得</w:t>
            </w:r>
            <w:r>
              <w:rPr>
                <w:rFonts w:hint="eastAsia"/>
                <w:lang w:val="en-US" w:eastAsia="zh-CN"/>
              </w:rPr>
              <w:t>6</w:t>
            </w:r>
            <w:r>
              <w:t xml:space="preserve">分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38"/>
              <w:rPr>
                <w:rFonts w:hint="eastAsia"/>
                <w:lang w:eastAsia="zh-CN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pStyle w:val="38"/>
              <w:jc w:val="right"/>
            </w:pPr>
            <w:r>
              <w:rPr>
                <w:rFonts w:hint="eastAsia"/>
                <w:lang w:val="en-US" w:eastAsia="zh-CN"/>
              </w:rPr>
              <w:t>6</w:t>
            </w:r>
            <w:r>
              <w:t>.00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38"/>
            </w:pPr>
            <w:r>
              <w:t>客观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pStyle w:val="38"/>
            </w:pPr>
            <w:r>
              <w:t>供应商认为应当提供的其他证明材料</w:t>
            </w:r>
          </w:p>
        </w:tc>
      </w:tr>
    </w:tbl>
    <w:p>
      <w:pPr>
        <w:pStyle w:val="15"/>
        <w:ind w:left="0" w:leftChars="0" w:firstLine="0" w:firstLineChars="0"/>
        <w:rPr>
          <w:rFonts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922F934-24EF-4C0C-8556-5545138270E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6659ACBD-0406-409B-8E5C-1162C40AE8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0EFB778-471F-468E-BEF9-F4CCA7354B7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449E"/>
    <w:multiLevelType w:val="multilevel"/>
    <w:tmpl w:val="3531449E"/>
    <w:lvl w:ilvl="0" w:tentative="0">
      <w:start w:val="1"/>
      <w:numFmt w:val="japaneseCounting"/>
      <w:pStyle w:val="21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MmFlYzY1OGIxMzgzZjM5MDBjMjNiMGVmZDY5MTgifQ=="/>
  </w:docVars>
  <w:rsids>
    <w:rsidRoot w:val="000B2080"/>
    <w:rsid w:val="000469D0"/>
    <w:rsid w:val="000B2080"/>
    <w:rsid w:val="000C4992"/>
    <w:rsid w:val="0012706C"/>
    <w:rsid w:val="00184910"/>
    <w:rsid w:val="00200625"/>
    <w:rsid w:val="0021037F"/>
    <w:rsid w:val="0027289C"/>
    <w:rsid w:val="00286874"/>
    <w:rsid w:val="00290DB9"/>
    <w:rsid w:val="002A7E9E"/>
    <w:rsid w:val="002F60AD"/>
    <w:rsid w:val="00304BBC"/>
    <w:rsid w:val="0036102C"/>
    <w:rsid w:val="00366BE2"/>
    <w:rsid w:val="0037065E"/>
    <w:rsid w:val="00400620"/>
    <w:rsid w:val="00402111"/>
    <w:rsid w:val="004813B3"/>
    <w:rsid w:val="004908A2"/>
    <w:rsid w:val="004E6B20"/>
    <w:rsid w:val="005916ED"/>
    <w:rsid w:val="00594DFA"/>
    <w:rsid w:val="005E1FD1"/>
    <w:rsid w:val="0061462B"/>
    <w:rsid w:val="006311DC"/>
    <w:rsid w:val="0063361F"/>
    <w:rsid w:val="0065455F"/>
    <w:rsid w:val="00704ABE"/>
    <w:rsid w:val="007A3B19"/>
    <w:rsid w:val="007C3652"/>
    <w:rsid w:val="008248D3"/>
    <w:rsid w:val="0084326E"/>
    <w:rsid w:val="0085087D"/>
    <w:rsid w:val="009E6D55"/>
    <w:rsid w:val="00A172B5"/>
    <w:rsid w:val="00A25D29"/>
    <w:rsid w:val="00AB76D1"/>
    <w:rsid w:val="00AC546D"/>
    <w:rsid w:val="00AD4A46"/>
    <w:rsid w:val="00AE2F38"/>
    <w:rsid w:val="00BB1C4C"/>
    <w:rsid w:val="00C17BC5"/>
    <w:rsid w:val="00C479E3"/>
    <w:rsid w:val="00CB1306"/>
    <w:rsid w:val="00CC0883"/>
    <w:rsid w:val="00CD05C4"/>
    <w:rsid w:val="00D33EFD"/>
    <w:rsid w:val="00D75A21"/>
    <w:rsid w:val="00E0706F"/>
    <w:rsid w:val="00E25E7B"/>
    <w:rsid w:val="00E536D3"/>
    <w:rsid w:val="00E66137"/>
    <w:rsid w:val="00E73F02"/>
    <w:rsid w:val="00F84043"/>
    <w:rsid w:val="00FD13DB"/>
    <w:rsid w:val="012D0B24"/>
    <w:rsid w:val="02623C91"/>
    <w:rsid w:val="060C2D53"/>
    <w:rsid w:val="065F2230"/>
    <w:rsid w:val="066D5FEA"/>
    <w:rsid w:val="07541C4C"/>
    <w:rsid w:val="091066B6"/>
    <w:rsid w:val="0E43308A"/>
    <w:rsid w:val="0EAC72B4"/>
    <w:rsid w:val="174340FA"/>
    <w:rsid w:val="18C3272C"/>
    <w:rsid w:val="1BA138A9"/>
    <w:rsid w:val="1C626F78"/>
    <w:rsid w:val="1D383C3A"/>
    <w:rsid w:val="1E081BFA"/>
    <w:rsid w:val="1E3769E9"/>
    <w:rsid w:val="1EFD54D7"/>
    <w:rsid w:val="1F741051"/>
    <w:rsid w:val="204004F3"/>
    <w:rsid w:val="20466AB8"/>
    <w:rsid w:val="216E6218"/>
    <w:rsid w:val="21CE3395"/>
    <w:rsid w:val="23273BBA"/>
    <w:rsid w:val="23382D61"/>
    <w:rsid w:val="254F010E"/>
    <w:rsid w:val="267A2F9B"/>
    <w:rsid w:val="297B03A1"/>
    <w:rsid w:val="2E456552"/>
    <w:rsid w:val="305B205D"/>
    <w:rsid w:val="31C01C2C"/>
    <w:rsid w:val="32717A25"/>
    <w:rsid w:val="333577B6"/>
    <w:rsid w:val="34D04DC8"/>
    <w:rsid w:val="38007070"/>
    <w:rsid w:val="38327B47"/>
    <w:rsid w:val="3A43798C"/>
    <w:rsid w:val="3A6A006E"/>
    <w:rsid w:val="3C1047C3"/>
    <w:rsid w:val="3E4055E5"/>
    <w:rsid w:val="3F972772"/>
    <w:rsid w:val="40026051"/>
    <w:rsid w:val="41E158E5"/>
    <w:rsid w:val="44421D0B"/>
    <w:rsid w:val="46640BA5"/>
    <w:rsid w:val="47146A61"/>
    <w:rsid w:val="47816FA8"/>
    <w:rsid w:val="47C75C4C"/>
    <w:rsid w:val="4A834233"/>
    <w:rsid w:val="4C027527"/>
    <w:rsid w:val="4D307E1B"/>
    <w:rsid w:val="4F74451D"/>
    <w:rsid w:val="4FCA2588"/>
    <w:rsid w:val="4FD01A82"/>
    <w:rsid w:val="52CD2703"/>
    <w:rsid w:val="53A46F38"/>
    <w:rsid w:val="5C7E5445"/>
    <w:rsid w:val="5D2034AA"/>
    <w:rsid w:val="5EDB3860"/>
    <w:rsid w:val="60DF596B"/>
    <w:rsid w:val="619E04DC"/>
    <w:rsid w:val="625D436D"/>
    <w:rsid w:val="6436770E"/>
    <w:rsid w:val="65167D25"/>
    <w:rsid w:val="664B1C51"/>
    <w:rsid w:val="6804459F"/>
    <w:rsid w:val="68204A23"/>
    <w:rsid w:val="683F57E5"/>
    <w:rsid w:val="6F3F7239"/>
    <w:rsid w:val="6FA84567"/>
    <w:rsid w:val="72C77E07"/>
    <w:rsid w:val="76F81981"/>
    <w:rsid w:val="77D9409B"/>
    <w:rsid w:val="78CA5BAC"/>
    <w:rsid w:val="78EE142F"/>
    <w:rsid w:val="7C547659"/>
    <w:rsid w:val="7C6E1C65"/>
    <w:rsid w:val="7FF9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29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19"/>
      <w:szCs w:val="19"/>
      <w:lang w:val="zh-CN" w:bidi="zh-CN"/>
    </w:rPr>
  </w:style>
  <w:style w:type="paragraph" w:styleId="8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9">
    <w:name w:val="Plain Text"/>
    <w:basedOn w:val="1"/>
    <w:link w:val="26"/>
    <w:autoRedefine/>
    <w:qFormat/>
    <w:uiPriority w:val="0"/>
    <w:rPr>
      <w:rFonts w:ascii="宋体" w:hAnsi="Courier New" w:eastAsia="宋体" w:cs="Courier New"/>
      <w:szCs w:val="21"/>
    </w:rPr>
  </w:style>
  <w:style w:type="paragraph" w:styleId="10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annotation subject"/>
    <w:basedOn w:val="6"/>
    <w:next w:val="6"/>
    <w:link w:val="32"/>
    <w:autoRedefine/>
    <w:semiHidden/>
    <w:unhideWhenUsed/>
    <w:qFormat/>
    <w:uiPriority w:val="99"/>
    <w:rPr>
      <w:b/>
      <w:bCs/>
    </w:rPr>
  </w:style>
  <w:style w:type="paragraph" w:styleId="15">
    <w:name w:val="Body Text First Indent 2"/>
    <w:basedOn w:val="8"/>
    <w:autoRedefine/>
    <w:unhideWhenUsed/>
    <w:qFormat/>
    <w:uiPriority w:val="99"/>
    <w:pPr>
      <w:spacing w:after="120"/>
      <w:ind w:left="420" w:leftChars="200" w:firstLine="420" w:firstLineChars="200"/>
    </w:pPr>
    <w:rPr>
      <w:sz w:val="21"/>
      <w:szCs w:val="24"/>
    </w:rPr>
  </w:style>
  <w:style w:type="table" w:styleId="17">
    <w:name w:val="Table Grid"/>
    <w:basedOn w:val="1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autoRedefine/>
    <w:semiHidden/>
    <w:unhideWhenUsed/>
    <w:qFormat/>
    <w:uiPriority w:val="99"/>
    <w:rPr>
      <w:sz w:val="21"/>
      <w:szCs w:val="21"/>
    </w:rPr>
  </w:style>
  <w:style w:type="paragraph" w:customStyle="1" w:styleId="20">
    <w:name w:val="标题 5（有编号）（绿盟科技）"/>
    <w:basedOn w:val="1"/>
    <w:next w:val="1"/>
    <w:autoRedefine/>
    <w:qFormat/>
    <w:uiPriority w:val="0"/>
    <w:pPr>
      <w:keepNext/>
      <w:keepLines/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styleId="21">
    <w:name w:val="List Paragraph"/>
    <w:basedOn w:val="1"/>
    <w:link w:val="27"/>
    <w:autoRedefine/>
    <w:qFormat/>
    <w:uiPriority w:val="99"/>
    <w:pPr>
      <w:numPr>
        <w:ilvl w:val="0"/>
        <w:numId w:val="1"/>
      </w:numPr>
      <w:jc w:val="left"/>
    </w:pPr>
    <w:rPr>
      <w:rFonts w:ascii="宋体" w:hAnsi="宋体" w:eastAsia="宋体" w:cs="宋体"/>
      <w:b/>
      <w:sz w:val="32"/>
      <w:szCs w:val="32"/>
    </w:rPr>
  </w:style>
  <w:style w:type="character" w:customStyle="1" w:styleId="22">
    <w:name w:val="样式 正文缩进 + 首行缩进:  2 字符 Char"/>
    <w:link w:val="23"/>
    <w:autoRedefine/>
    <w:qFormat/>
    <w:uiPriority w:val="0"/>
    <w:rPr>
      <w:rFonts w:eastAsia="宋体"/>
      <w:sz w:val="24"/>
    </w:rPr>
  </w:style>
  <w:style w:type="paragraph" w:customStyle="1" w:styleId="23">
    <w:name w:val="样式 正文缩进 + 首行缩进:  2 字符"/>
    <w:basedOn w:val="5"/>
    <w:link w:val="22"/>
    <w:autoRedefine/>
    <w:qFormat/>
    <w:uiPriority w:val="0"/>
    <w:pPr>
      <w:spacing w:line="360" w:lineRule="auto"/>
      <w:ind w:firstLine="200"/>
    </w:pPr>
    <w:rPr>
      <w:rFonts w:eastAsia="宋体"/>
      <w:sz w:val="24"/>
    </w:rPr>
  </w:style>
  <w:style w:type="character" w:customStyle="1" w:styleId="24">
    <w:name w:val="标题 1 Char"/>
    <w:basedOn w:val="18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8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纯文本 Char"/>
    <w:basedOn w:val="18"/>
    <w:link w:val="9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7">
    <w:name w:val="列出段落 Char"/>
    <w:link w:val="21"/>
    <w:autoRedefine/>
    <w:qFormat/>
    <w:uiPriority w:val="99"/>
    <w:rPr>
      <w:rFonts w:ascii="宋体" w:hAnsi="宋体" w:cs="宋体"/>
      <w:b/>
      <w:kern w:val="2"/>
      <w:sz w:val="32"/>
      <w:szCs w:val="32"/>
    </w:rPr>
  </w:style>
  <w:style w:type="table" w:customStyle="1" w:styleId="28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正文文本 Char"/>
    <w:basedOn w:val="18"/>
    <w:link w:val="7"/>
    <w:autoRedefine/>
    <w:qFormat/>
    <w:uiPriority w:val="1"/>
    <w:rPr>
      <w:rFonts w:ascii="宋体" w:hAnsi="宋体" w:eastAsia="宋体" w:cs="宋体"/>
      <w:sz w:val="19"/>
      <w:szCs w:val="19"/>
      <w:lang w:val="zh-CN" w:bidi="zh-CN"/>
    </w:rPr>
  </w:style>
  <w:style w:type="paragraph" w:customStyle="1" w:styleId="30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31">
    <w:name w:val="批注文字 Char"/>
    <w:basedOn w:val="18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2">
    <w:name w:val="批注主题 Char"/>
    <w:basedOn w:val="31"/>
    <w:link w:val="14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3">
    <w:name w:val="批注框文本 Char"/>
    <w:basedOn w:val="18"/>
    <w:link w:val="10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4">
    <w:name w:val="正文缩进1"/>
    <w:basedOn w:val="1"/>
    <w:autoRedefine/>
    <w:qFormat/>
    <w:uiPriority w:val="0"/>
    <w:pPr>
      <w:ind w:firstLine="420"/>
    </w:pPr>
    <w:rPr>
      <w:szCs w:val="20"/>
    </w:rPr>
  </w:style>
  <w:style w:type="character" w:customStyle="1" w:styleId="35">
    <w:name w:val="页码1"/>
    <w:autoRedefine/>
    <w:qFormat/>
    <w:uiPriority w:val="0"/>
  </w:style>
  <w:style w:type="paragraph" w:customStyle="1" w:styleId="36">
    <w:name w:val="1"/>
    <w:basedOn w:val="1"/>
    <w:next w:val="9"/>
    <w:autoRedefine/>
    <w:qFormat/>
    <w:uiPriority w:val="99"/>
    <w:rPr>
      <w:rFonts w:ascii="宋体" w:hAnsi="Courier New" w:eastAsia="宋体" w:cs="Times New Roman"/>
      <w:szCs w:val="20"/>
    </w:rPr>
  </w:style>
  <w:style w:type="paragraph" w:customStyle="1" w:styleId="3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customStyle="1" w:styleId="38">
    <w:name w:val="null3"/>
    <w:autoRedefine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491</Words>
  <Characters>2802</Characters>
  <Lines>23</Lines>
  <Paragraphs>6</Paragraphs>
  <TotalTime>25</TotalTime>
  <ScaleCrop>false</ScaleCrop>
  <LinksUpToDate>false</LinksUpToDate>
  <CharactersWithSpaces>3287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2022-07-29T09:09:00Z</dcterms:created>
  <dc:creator>xb21cn</dc:creator>
  <cp:lastModifiedBy>虎晓燕</cp:lastModifiedBy>
  <dcterms:modified xsi:type="dcterms:W3CDTF">2024-04-15T07:56:14Z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D49298DEDAD34186BD422B016B3DD10E_13</vt:lpwstr>
  </property>
</Properties>
</file>